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宋体"/>
          <w:lang w:eastAsia="zh-CN"/>
        </w:rPr>
      </w:pPr>
    </w:p>
    <w:p>
      <w:pPr>
        <w:jc w:val="center"/>
        <w:rPr>
          <w:rFonts w:hint="eastAsia" w:ascii="微软雅黑" w:hAnsi="微软雅黑" w:eastAsia="微软雅黑" w:cs="微软雅黑"/>
          <w:b/>
          <w:bCs/>
          <w:kern w:val="0"/>
          <w:sz w:val="56"/>
          <w:szCs w:val="56"/>
          <w:lang w:val="en-US" w:eastAsia="zh-CN"/>
        </w:rPr>
      </w:pPr>
      <w:r>
        <w:rPr>
          <w:rFonts w:hint="eastAsia" w:ascii="微软雅黑" w:hAnsi="微软雅黑" w:eastAsia="微软雅黑" w:cs="微软雅黑"/>
          <w:b/>
          <w:bCs/>
          <w:kern w:val="0"/>
          <w:sz w:val="56"/>
          <w:szCs w:val="56"/>
          <w:lang w:val="en-US" w:eastAsia="zh-CN"/>
        </w:rPr>
        <w:drawing>
          <wp:inline distT="0" distB="0" distL="114300" distR="114300">
            <wp:extent cx="6479540" cy="2879725"/>
            <wp:effectExtent l="0" t="0" r="16510" b="15875"/>
            <wp:docPr id="1" name="图片 1" descr="微信图片_202309271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927141834"/>
                    <pic:cNvPicPr>
                      <a:picLocks noChangeAspect="1"/>
                    </pic:cNvPicPr>
                  </pic:nvPicPr>
                  <pic:blipFill>
                    <a:blip r:embed="rId4"/>
                    <a:stretch>
                      <a:fillRect/>
                    </a:stretch>
                  </pic:blipFill>
                  <pic:spPr>
                    <a:xfrm>
                      <a:off x="0" y="0"/>
                      <a:ext cx="6479540" cy="2879725"/>
                    </a:xfrm>
                    <a:prstGeom prst="rect">
                      <a:avLst/>
                    </a:prstGeom>
                  </pic:spPr>
                </pic:pic>
              </a:graphicData>
            </a:graphic>
          </wp:inline>
        </w:drawing>
      </w:r>
      <w:r>
        <w:rPr>
          <w:rFonts w:hint="eastAsia" w:ascii="微软雅黑" w:hAnsi="微软雅黑" w:eastAsia="微软雅黑" w:cs="微软雅黑"/>
          <w:b/>
          <w:bCs/>
          <w:kern w:val="0"/>
          <w:sz w:val="56"/>
          <w:szCs w:val="56"/>
          <w:lang w:val="en-US" w:eastAsia="zh-CN"/>
        </w:rPr>
        <w:t>2025年中东世界未来能源峰会暨展览会</w:t>
      </w:r>
    </w:p>
    <w:p>
      <w:pPr>
        <w:jc w:val="center"/>
        <w:rPr>
          <w:rFonts w:hint="eastAsia" w:ascii="微软雅黑" w:hAnsi="微软雅黑" w:eastAsia="微软雅黑" w:cs="微软雅黑"/>
          <w:b/>
          <w:bCs/>
          <w:kern w:val="0"/>
          <w:sz w:val="56"/>
          <w:szCs w:val="56"/>
          <w:lang w:val="en-US" w:eastAsia="zh-CN"/>
        </w:rPr>
      </w:pPr>
      <w:r>
        <w:drawing>
          <wp:inline distT="0" distB="0" distL="0" distR="0">
            <wp:extent cx="2265680" cy="721360"/>
            <wp:effectExtent l="0" t="0" r="1270" b="2540"/>
            <wp:docPr id="7" name="图片 7" descr="E:\李姗\MIE\展会logo\世界未来能源.png世界未来能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李姗\MIE\展会logo\世界未来能源.png世界未来能源"/>
                    <pic:cNvPicPr>
                      <a:picLocks noChangeAspect="1"/>
                    </pic:cNvPicPr>
                  </pic:nvPicPr>
                  <pic:blipFill>
                    <a:blip r:embed="rId5"/>
                    <a:srcRect l="478" r="478"/>
                    <a:stretch>
                      <a:fillRect/>
                    </a:stretch>
                  </pic:blipFill>
                  <pic:spPr>
                    <a:xfrm>
                      <a:off x="0" y="0"/>
                      <a:ext cx="2265680" cy="7213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t>展会介绍</w:t>
      </w:r>
    </w:p>
    <w:p>
      <w:pPr>
        <w:pStyle w:val="2"/>
        <w:keepNext w:val="0"/>
        <w:keepLines w:val="0"/>
        <w:pageBreakBefore w:val="0"/>
        <w:widowControl w:val="0"/>
        <w:tabs>
          <w:tab w:val="left" w:pos="5460"/>
        </w:tabs>
        <w:kinsoku/>
        <w:wordWrap/>
        <w:overflowPunct/>
        <w:topLinePunct w:val="0"/>
        <w:autoSpaceDE/>
        <w:autoSpaceDN/>
        <w:bidi w:val="0"/>
        <w:adjustRightInd/>
        <w:snapToGrid/>
        <w:spacing w:before="159" w:line="240" w:lineRule="auto"/>
        <w:ind w:left="0" w:leftChars="0" w:firstLine="0" w:firstLineChars="0"/>
        <w:jc w:val="left"/>
        <w:textAlignment w:val="auto"/>
        <w:rPr>
          <w:rFonts w:hint="eastAsia"/>
          <w:b/>
          <w:bCs/>
          <w:color w:val="050E17"/>
          <w:spacing w:val="9"/>
          <w:sz w:val="28"/>
          <w:szCs w:val="28"/>
          <w:lang w:val="en-US" w:eastAsia="zh-CN"/>
        </w:rPr>
      </w:pPr>
      <w:r>
        <w:rPr>
          <w:rFonts w:hint="eastAsia"/>
          <w:b/>
          <w:bCs/>
          <w:color w:val="050E17"/>
          <w:spacing w:val="9"/>
          <w:sz w:val="28"/>
          <w:szCs w:val="28"/>
        </w:rPr>
        <w:t>●</w:t>
      </w:r>
      <w:r>
        <w:rPr>
          <w:rFonts w:hint="eastAsia"/>
          <w:b/>
          <w:bCs/>
          <w:color w:val="050E17"/>
          <w:spacing w:val="9"/>
          <w:sz w:val="28"/>
          <w:szCs w:val="28"/>
          <w:lang w:val="en-US" w:eastAsia="zh-CN"/>
        </w:rPr>
        <w:t xml:space="preserve"> </w:t>
      </w:r>
      <w:r>
        <w:rPr>
          <w:b/>
          <w:bCs/>
          <w:color w:val="050E17"/>
          <w:spacing w:val="9"/>
          <w:sz w:val="28"/>
          <w:szCs w:val="28"/>
        </w:rPr>
        <w:t>展会时间</w:t>
      </w:r>
      <w:r>
        <w:rPr>
          <w:rFonts w:hint="eastAsia"/>
          <w:b/>
          <w:bCs/>
          <w:color w:val="050E17"/>
          <w:spacing w:val="9"/>
          <w:sz w:val="28"/>
          <w:szCs w:val="28"/>
          <w:lang w:eastAsia="zh-CN"/>
        </w:rPr>
        <w:t>：</w:t>
      </w:r>
      <w:r>
        <w:rPr>
          <w:b/>
          <w:bCs/>
          <w:color w:val="050E17"/>
          <w:spacing w:val="9"/>
          <w:sz w:val="28"/>
          <w:szCs w:val="28"/>
        </w:rPr>
        <w:t>202</w:t>
      </w:r>
      <w:r>
        <w:rPr>
          <w:rFonts w:hint="eastAsia"/>
          <w:b/>
          <w:bCs/>
          <w:color w:val="050E17"/>
          <w:spacing w:val="9"/>
          <w:sz w:val="28"/>
          <w:szCs w:val="28"/>
          <w:lang w:val="en-US" w:eastAsia="zh-CN"/>
        </w:rPr>
        <w:t>5</w:t>
      </w:r>
      <w:r>
        <w:rPr>
          <w:b/>
          <w:bCs/>
          <w:color w:val="050E17"/>
          <w:spacing w:val="9"/>
          <w:sz w:val="28"/>
          <w:szCs w:val="28"/>
        </w:rPr>
        <w:t>年</w:t>
      </w:r>
      <w:r>
        <w:rPr>
          <w:rFonts w:hint="eastAsia"/>
          <w:b/>
          <w:bCs/>
          <w:color w:val="050E17"/>
          <w:spacing w:val="9"/>
          <w:sz w:val="28"/>
          <w:szCs w:val="28"/>
          <w:lang w:val="en-US" w:eastAsia="zh-CN"/>
        </w:rPr>
        <w:t>1</w:t>
      </w:r>
      <w:r>
        <w:rPr>
          <w:b/>
          <w:bCs/>
          <w:color w:val="050E17"/>
          <w:spacing w:val="9"/>
          <w:sz w:val="28"/>
          <w:szCs w:val="28"/>
        </w:rPr>
        <w:t>月</w:t>
      </w:r>
      <w:r>
        <w:rPr>
          <w:rFonts w:hint="eastAsia"/>
          <w:b/>
          <w:bCs/>
          <w:color w:val="050E17"/>
          <w:spacing w:val="9"/>
          <w:sz w:val="28"/>
          <w:szCs w:val="28"/>
          <w:lang w:val="en-US" w:eastAsia="zh-CN"/>
        </w:rPr>
        <w:t>14-16</w:t>
      </w:r>
      <w:r>
        <w:rPr>
          <w:b/>
          <w:bCs/>
          <w:color w:val="050E17"/>
          <w:spacing w:val="9"/>
          <w:sz w:val="28"/>
          <w:szCs w:val="28"/>
        </w:rPr>
        <w:t>日</w:t>
      </w:r>
      <w:r>
        <w:rPr>
          <w:rFonts w:hint="eastAsia"/>
          <w:b/>
          <w:bCs/>
          <w:color w:val="050E17"/>
          <w:spacing w:val="9"/>
          <w:sz w:val="28"/>
          <w:szCs w:val="28"/>
          <w:lang w:val="en-US" w:eastAsia="zh-CN"/>
        </w:rPr>
        <w:tab/>
      </w:r>
      <w:r>
        <w:rPr>
          <w:rFonts w:hint="eastAsia"/>
          <w:b/>
          <w:bCs/>
          <w:color w:val="050E17"/>
          <w:spacing w:val="9"/>
          <w:sz w:val="28"/>
          <w:szCs w:val="28"/>
          <w:lang w:val="en-US" w:eastAsia="zh-CN"/>
        </w:rPr>
        <w:t xml:space="preserve"> 展会地点：阿布扎比国家展览中心</w:t>
      </w:r>
    </w:p>
    <w:p>
      <w:pPr>
        <w:pStyle w:val="2"/>
        <w:keepNext w:val="0"/>
        <w:keepLines w:val="0"/>
        <w:pageBreakBefore w:val="0"/>
        <w:widowControl w:val="0"/>
        <w:tabs>
          <w:tab w:val="right" w:pos="5460"/>
        </w:tabs>
        <w:kinsoku/>
        <w:wordWrap/>
        <w:overflowPunct/>
        <w:topLinePunct w:val="0"/>
        <w:autoSpaceDE/>
        <w:autoSpaceDN/>
        <w:bidi w:val="0"/>
        <w:adjustRightInd/>
        <w:snapToGrid/>
        <w:spacing w:before="159" w:line="240" w:lineRule="auto"/>
        <w:ind w:left="0" w:leftChars="0" w:firstLine="0" w:firstLineChars="0"/>
        <w:jc w:val="left"/>
        <w:textAlignment w:val="auto"/>
        <w:rPr>
          <w:rFonts w:hint="eastAsia"/>
          <w:b/>
          <w:bCs/>
          <w:color w:val="050E17"/>
          <w:spacing w:val="9"/>
          <w:sz w:val="28"/>
          <w:szCs w:val="28"/>
          <w:lang w:val="en-US" w:eastAsia="zh-CN"/>
        </w:rPr>
      </w:pPr>
      <w:r>
        <w:rPr>
          <w:rFonts w:hint="eastAsia"/>
          <w:b/>
          <w:bCs/>
          <w:color w:val="050E17"/>
          <w:spacing w:val="9"/>
          <w:sz w:val="28"/>
          <w:szCs w:val="28"/>
        </w:rPr>
        <w:t>●</w:t>
      </w:r>
      <w:r>
        <w:rPr>
          <w:rFonts w:hint="eastAsia"/>
          <w:b/>
          <w:bCs/>
          <w:color w:val="050E17"/>
          <w:spacing w:val="9"/>
          <w:sz w:val="28"/>
          <w:szCs w:val="28"/>
          <w:lang w:val="en-US" w:eastAsia="zh-CN"/>
        </w:rPr>
        <w:t xml:space="preserve"> </w:t>
      </w:r>
      <w:r>
        <w:rPr>
          <w:b/>
          <w:bCs/>
          <w:color w:val="050E17"/>
          <w:spacing w:val="9"/>
          <w:sz w:val="28"/>
          <w:szCs w:val="28"/>
        </w:rPr>
        <w:t>主办单位</w:t>
      </w:r>
      <w:r>
        <w:rPr>
          <w:rFonts w:hint="eastAsia"/>
          <w:b/>
          <w:bCs/>
          <w:color w:val="050E17"/>
          <w:spacing w:val="9"/>
          <w:sz w:val="28"/>
          <w:szCs w:val="28"/>
          <w:lang w:eastAsia="zh-CN"/>
        </w:rPr>
        <w:t>：</w:t>
      </w:r>
      <w:r>
        <w:rPr>
          <w:rFonts w:hint="eastAsia"/>
          <w:b/>
          <w:bCs/>
          <w:color w:val="050E17"/>
          <w:spacing w:val="9"/>
          <w:sz w:val="28"/>
          <w:szCs w:val="28"/>
          <w:lang w:val="en-US" w:eastAsia="zh-CN"/>
        </w:rPr>
        <w:t>MASDAR &amp; RX          举办届数：第十七届</w:t>
      </w:r>
    </w:p>
    <w:p>
      <w:pPr>
        <w:pStyle w:val="2"/>
        <w:keepNext w:val="0"/>
        <w:keepLines w:val="0"/>
        <w:pageBreakBefore w:val="0"/>
        <w:widowControl w:val="0"/>
        <w:tabs>
          <w:tab w:val="right" w:pos="5460"/>
        </w:tabs>
        <w:kinsoku/>
        <w:wordWrap/>
        <w:overflowPunct/>
        <w:topLinePunct w:val="0"/>
        <w:autoSpaceDE/>
        <w:autoSpaceDN/>
        <w:bidi w:val="0"/>
        <w:adjustRightInd/>
        <w:snapToGrid/>
        <w:spacing w:before="159" w:line="240" w:lineRule="auto"/>
        <w:ind w:left="0" w:leftChars="0" w:firstLine="0" w:firstLineChars="0"/>
        <w:jc w:val="left"/>
        <w:textAlignment w:val="auto"/>
        <w:rPr>
          <w:rFonts w:hint="eastAsia"/>
          <w:b/>
          <w:bCs/>
          <w:color w:val="050E17"/>
          <w:spacing w:val="9"/>
          <w:sz w:val="28"/>
          <w:szCs w:val="28"/>
          <w:lang w:val="en-US" w:eastAsia="zh-CN"/>
        </w:rPr>
      </w:pPr>
    </w:p>
    <w:p>
      <w:pPr>
        <w:pStyle w:val="2"/>
        <w:keepNext w:val="0"/>
        <w:keepLines w:val="0"/>
        <w:pageBreakBefore w:val="0"/>
        <w:widowControl w:val="0"/>
        <w:tabs>
          <w:tab w:val="right" w:pos="5460"/>
        </w:tabs>
        <w:kinsoku/>
        <w:wordWrap/>
        <w:overflowPunct/>
        <w:topLinePunct w:val="0"/>
        <w:autoSpaceDE/>
        <w:autoSpaceDN/>
        <w:bidi w:val="0"/>
        <w:adjustRightInd/>
        <w:snapToGrid/>
        <w:spacing w:before="159" w:line="240" w:lineRule="auto"/>
        <w:ind w:left="0" w:leftChars="0" w:firstLine="0" w:firstLineChars="0"/>
        <w:jc w:val="center"/>
        <w:textAlignment w:val="auto"/>
        <w:rPr>
          <w:rFonts w:hint="eastAsia" w:ascii="微软雅黑" w:hAnsi="微软雅黑" w:eastAsia="微软雅黑"/>
          <w:szCs w:val="21"/>
        </w:rPr>
      </w:pPr>
      <w:r>
        <w:rPr>
          <w:position w:val="-61"/>
        </w:rPr>
        <w:drawing>
          <wp:inline distT="0" distB="0" distL="0" distR="0">
            <wp:extent cx="6480175" cy="2879725"/>
            <wp:effectExtent l="0" t="0" r="15875" b="15875"/>
            <wp:docPr id="6" name="IM 6" descr="E:/李姗/MIE/2025招展资料/1.14-16 世界未来能源峰会暨展览会/_R3_3852.jpg_R3_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 6" descr="E:/李姗/MIE/2025招展资料/1.14-16 世界未来能源峰会暨展览会/_R3_3852.jpg_R3_3852"/>
                    <pic:cNvPicPr>
                      <a:picLocks noChangeAspect="1"/>
                    </pic:cNvPicPr>
                  </pic:nvPicPr>
                  <pic:blipFill>
                    <a:blip r:embed="rId6"/>
                    <a:srcRect t="16654" b="16654"/>
                    <a:stretch>
                      <a:fillRect/>
                    </a:stretch>
                  </pic:blipFill>
                  <pic:spPr>
                    <a:xfrm>
                      <a:off x="0" y="0"/>
                      <a:ext cx="6480175" cy="287972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spacing w:after="200" w:line="360" w:lineRule="auto"/>
        <w:ind w:firstLine="560" w:firstLineChars="20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世界未来能源峰会暨展览会（WFES）由Masdar－阿联酋未来能源投资公司发起，致力于推动世界未来能源发展、能源效率利用、清洁技术和可再生能源及环境保护领域的技术创新和投资机会。自2008首次举办以来，WFES已经快速成长为中东北非地区规模最大的世界领先可再生能源展览和会议。</w:t>
      </w:r>
    </w:p>
    <w:p>
      <w:pPr>
        <w:keepNext w:val="0"/>
        <w:keepLines w:val="0"/>
        <w:pageBreakBefore w:val="0"/>
        <w:widowControl/>
        <w:kinsoku w:val="0"/>
        <w:wordWrap/>
        <w:overflowPunct/>
        <w:topLinePunct w:val="0"/>
        <w:autoSpaceDE w:val="0"/>
        <w:autoSpaceDN w:val="0"/>
        <w:bidi w:val="0"/>
        <w:adjustRightInd w:val="0"/>
        <w:snapToGrid/>
        <w:spacing w:after="200" w:line="360" w:lineRule="auto"/>
        <w:ind w:firstLine="560" w:firstLineChars="20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2024年WFES吸引了来自世界各地的3万多名参观者和400多家企业参展，350多名行业领袖和专家就太阳能与清洁能源、生态垃圾、水、能源转型、智慧城市、气候与环境等专题展开讨论。其中中国企业有100多家，约占三分之一。尤其是在太阳能领域，140家参展企业中有90多家来自中国，优势十分明显。本次展会还新增了3个论坛：通往1.5℃的道路、绿色金融和电动交通。</w:t>
      </w:r>
    </w:p>
    <w:p>
      <w:pPr>
        <w:keepNext w:val="0"/>
        <w:keepLines w:val="0"/>
        <w:pageBreakBefore w:val="0"/>
        <w:widowControl/>
        <w:kinsoku w:val="0"/>
        <w:wordWrap/>
        <w:overflowPunct/>
        <w:topLinePunct w:val="0"/>
        <w:autoSpaceDE w:val="0"/>
        <w:autoSpaceDN w:val="0"/>
        <w:bidi w:val="0"/>
        <w:adjustRightInd w:val="0"/>
        <w:snapToGrid/>
        <w:spacing w:after="200" w:line="360" w:lineRule="auto"/>
        <w:ind w:firstLine="560" w:firstLineChars="200"/>
        <w:jc w:val="both"/>
        <w:textAlignment w:val="baseline"/>
        <w:rPr>
          <w:rFonts w:hint="default" w:ascii="微软雅黑" w:hAnsi="微软雅黑" w:eastAsia="微软雅黑"/>
          <w:sz w:val="28"/>
          <w:szCs w:val="28"/>
          <w:lang w:val="en-US" w:eastAsia="zh-CN"/>
        </w:rPr>
      </w:pPr>
      <w:r>
        <w:rPr>
          <w:rFonts w:hint="eastAsia" w:ascii="微软雅黑" w:hAnsi="微软雅黑" w:eastAsia="微软雅黑"/>
          <w:sz w:val="28"/>
          <w:szCs w:val="28"/>
          <w:lang w:val="en-US" w:eastAsia="zh-CN"/>
        </w:rPr>
        <w:t>2025年WFES展出面积将达到35000平方米，共有来自超100个国家的400余家参展商展出最新技术与产品，参展人数将超过3万人，同时还将举办超过350场会议。</w:t>
      </w:r>
    </w:p>
    <w:tbl>
      <w:tblPr>
        <w:tblStyle w:val="7"/>
        <w:tblW w:w="96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2"/>
        <w:gridCol w:w="2432"/>
        <w:gridCol w:w="2419"/>
        <w:gridCol w:w="24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2412" w:type="dxa"/>
            <w:shd w:val="clear" w:color="auto" w:fill="4069DD"/>
            <w:vAlign w:val="center"/>
          </w:tcPr>
          <w:p>
            <w:pPr>
              <w:spacing w:before="211" w:line="190" w:lineRule="auto"/>
              <w:ind w:left="685"/>
              <w:rPr>
                <w:rFonts w:ascii="微软雅黑" w:hAnsi="微软雅黑" w:eastAsia="微软雅黑" w:cs="微软雅黑"/>
                <w:sz w:val="28"/>
                <w:szCs w:val="28"/>
              </w:rPr>
            </w:pPr>
            <w:r>
              <w:rPr>
                <w:rFonts w:ascii="微软雅黑" w:hAnsi="微软雅黑" w:eastAsia="微软雅黑" w:cs="微软雅黑"/>
                <w:color w:val="FFFFFF"/>
                <w:spacing w:val="3"/>
                <w:sz w:val="28"/>
                <w:szCs w:val="28"/>
              </w:rPr>
              <w:t>国际展商</w:t>
            </w:r>
          </w:p>
        </w:tc>
        <w:tc>
          <w:tcPr>
            <w:tcW w:w="2432" w:type="dxa"/>
            <w:shd w:val="clear" w:color="auto" w:fill="4069DD"/>
            <w:vAlign w:val="center"/>
          </w:tcPr>
          <w:p>
            <w:pPr>
              <w:spacing w:before="210" w:line="189" w:lineRule="auto"/>
              <w:ind w:left="681"/>
              <w:rPr>
                <w:rFonts w:ascii="微软雅黑" w:hAnsi="微软雅黑" w:eastAsia="微软雅黑" w:cs="微软雅黑"/>
                <w:sz w:val="28"/>
                <w:szCs w:val="28"/>
              </w:rPr>
            </w:pPr>
            <w:r>
              <w:rPr>
                <w:rFonts w:ascii="微软雅黑" w:hAnsi="微软雅黑" w:eastAsia="微软雅黑" w:cs="微软雅黑"/>
                <w:color w:val="FFFFFF"/>
                <w:spacing w:val="6"/>
                <w:sz w:val="28"/>
                <w:szCs w:val="28"/>
              </w:rPr>
              <w:t>参展人数</w:t>
            </w:r>
          </w:p>
        </w:tc>
        <w:tc>
          <w:tcPr>
            <w:tcW w:w="2419" w:type="dxa"/>
            <w:shd w:val="clear" w:color="auto" w:fill="4069DD"/>
            <w:vAlign w:val="center"/>
          </w:tcPr>
          <w:p>
            <w:pPr>
              <w:spacing w:before="210" w:line="191" w:lineRule="auto"/>
              <w:ind w:left="678"/>
              <w:rPr>
                <w:rFonts w:ascii="微软雅黑" w:hAnsi="微软雅黑" w:eastAsia="微软雅黑" w:cs="微软雅黑"/>
                <w:sz w:val="28"/>
                <w:szCs w:val="28"/>
              </w:rPr>
            </w:pPr>
            <w:r>
              <w:rPr>
                <w:rFonts w:ascii="微软雅黑" w:hAnsi="微软雅黑" w:eastAsia="微软雅黑" w:cs="微软雅黑"/>
                <w:color w:val="FFFFFF"/>
                <w:spacing w:val="6"/>
                <w:sz w:val="28"/>
                <w:szCs w:val="28"/>
              </w:rPr>
              <w:t>辐射国家</w:t>
            </w:r>
          </w:p>
        </w:tc>
        <w:tc>
          <w:tcPr>
            <w:tcW w:w="2426" w:type="dxa"/>
            <w:shd w:val="clear" w:color="auto" w:fill="4069DD"/>
            <w:vAlign w:val="center"/>
          </w:tcPr>
          <w:p>
            <w:pPr>
              <w:spacing w:before="211" w:line="189" w:lineRule="auto"/>
              <w:ind w:left="679"/>
              <w:rPr>
                <w:rFonts w:ascii="微软雅黑" w:hAnsi="微软雅黑" w:eastAsia="微软雅黑" w:cs="微软雅黑"/>
                <w:sz w:val="28"/>
                <w:szCs w:val="28"/>
              </w:rPr>
            </w:pPr>
            <w:r>
              <w:rPr>
                <w:rFonts w:ascii="微软雅黑" w:hAnsi="微软雅黑" w:eastAsia="微软雅黑" w:cs="微软雅黑"/>
                <w:color w:val="FFFFFF"/>
                <w:spacing w:val="7"/>
                <w:sz w:val="28"/>
                <w:szCs w:val="28"/>
              </w:rPr>
              <w:t>展会面积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jc w:val="center"/>
        </w:trPr>
        <w:tc>
          <w:tcPr>
            <w:tcW w:w="2412" w:type="dxa"/>
            <w:vAlign w:val="center"/>
          </w:tcPr>
          <w:p>
            <w:pPr>
              <w:spacing w:before="227" w:line="214" w:lineRule="auto"/>
              <w:ind w:left="826"/>
              <w:rPr>
                <w:rFonts w:ascii="微软雅黑" w:hAnsi="微软雅黑" w:eastAsia="微软雅黑" w:cs="微软雅黑"/>
                <w:sz w:val="28"/>
                <w:szCs w:val="28"/>
              </w:rPr>
            </w:pPr>
            <w:r>
              <w:rPr>
                <w:rFonts w:hint="eastAsia" w:ascii="微软雅黑" w:hAnsi="微软雅黑" w:eastAsia="微软雅黑" w:cs="微软雅黑"/>
                <w:spacing w:val="-8"/>
                <w:sz w:val="28"/>
                <w:szCs w:val="28"/>
                <w:lang w:val="en-US" w:eastAsia="zh-CN"/>
              </w:rPr>
              <w:t>4,00</w:t>
            </w:r>
            <w:r>
              <w:rPr>
                <w:rFonts w:ascii="微软雅黑" w:hAnsi="微软雅黑" w:eastAsia="微软雅黑" w:cs="微软雅黑"/>
                <w:spacing w:val="-8"/>
                <w:sz w:val="28"/>
                <w:szCs w:val="28"/>
              </w:rPr>
              <w:t>+</w:t>
            </w:r>
          </w:p>
        </w:tc>
        <w:tc>
          <w:tcPr>
            <w:tcW w:w="2432" w:type="dxa"/>
            <w:vAlign w:val="center"/>
          </w:tcPr>
          <w:p>
            <w:pPr>
              <w:spacing w:before="225" w:line="197" w:lineRule="auto"/>
              <w:jc w:val="center"/>
              <w:rPr>
                <w:rFonts w:ascii="微软雅黑" w:hAnsi="微软雅黑" w:eastAsia="微软雅黑" w:cs="微软雅黑"/>
                <w:sz w:val="28"/>
                <w:szCs w:val="28"/>
              </w:rPr>
            </w:pPr>
            <w:r>
              <w:rPr>
                <w:rFonts w:hint="eastAsia" w:ascii="微软雅黑" w:hAnsi="微软雅黑" w:eastAsia="微软雅黑" w:cs="微软雅黑"/>
                <w:spacing w:val="-3"/>
                <w:sz w:val="28"/>
                <w:szCs w:val="28"/>
                <w:lang w:val="en-US" w:eastAsia="zh-CN"/>
              </w:rPr>
              <w:t>30</w:t>
            </w:r>
            <w:r>
              <w:rPr>
                <w:rFonts w:ascii="微软雅黑" w:hAnsi="微软雅黑" w:eastAsia="微软雅黑" w:cs="微软雅黑"/>
                <w:spacing w:val="-3"/>
                <w:sz w:val="28"/>
                <w:szCs w:val="28"/>
              </w:rPr>
              <w:t>,000+</w:t>
            </w:r>
          </w:p>
        </w:tc>
        <w:tc>
          <w:tcPr>
            <w:tcW w:w="2419" w:type="dxa"/>
            <w:vAlign w:val="center"/>
          </w:tcPr>
          <w:p>
            <w:pPr>
              <w:spacing w:before="227" w:line="214" w:lineRule="auto"/>
              <w:ind w:left="933"/>
              <w:rPr>
                <w:rFonts w:ascii="微软雅黑" w:hAnsi="微软雅黑" w:eastAsia="微软雅黑" w:cs="微软雅黑"/>
                <w:sz w:val="28"/>
                <w:szCs w:val="28"/>
              </w:rPr>
            </w:pPr>
            <w:r>
              <w:rPr>
                <w:rFonts w:hint="eastAsia" w:ascii="微软雅黑" w:hAnsi="微软雅黑" w:eastAsia="微软雅黑" w:cs="微软雅黑"/>
                <w:color w:val="auto"/>
                <w:spacing w:val="-10"/>
                <w:sz w:val="28"/>
                <w:szCs w:val="28"/>
                <w:lang w:val="en-US" w:eastAsia="zh-CN"/>
              </w:rPr>
              <w:t>100</w:t>
            </w:r>
            <w:r>
              <w:rPr>
                <w:rFonts w:ascii="微软雅黑" w:hAnsi="微软雅黑" w:eastAsia="微软雅黑" w:cs="微软雅黑"/>
                <w:color w:val="auto"/>
                <w:spacing w:val="-10"/>
                <w:sz w:val="28"/>
                <w:szCs w:val="28"/>
              </w:rPr>
              <w:t>+</w:t>
            </w:r>
          </w:p>
        </w:tc>
        <w:tc>
          <w:tcPr>
            <w:tcW w:w="2426" w:type="dxa"/>
            <w:vAlign w:val="center"/>
          </w:tcPr>
          <w:p>
            <w:pPr>
              <w:spacing w:before="225" w:line="197" w:lineRule="auto"/>
              <w:jc w:val="center"/>
              <w:rPr>
                <w:rFonts w:ascii="微软雅黑" w:hAnsi="微软雅黑" w:eastAsia="微软雅黑" w:cs="微软雅黑"/>
                <w:sz w:val="28"/>
                <w:szCs w:val="28"/>
              </w:rPr>
            </w:pPr>
            <w:r>
              <w:rPr>
                <w:rFonts w:hint="eastAsia" w:ascii="微软雅黑" w:hAnsi="微软雅黑" w:eastAsia="微软雅黑" w:cs="微软雅黑"/>
                <w:color w:val="auto"/>
                <w:spacing w:val="-3"/>
                <w:sz w:val="28"/>
                <w:szCs w:val="28"/>
                <w:lang w:val="en-US" w:eastAsia="zh-CN"/>
              </w:rPr>
              <w:t>35</w:t>
            </w:r>
            <w:r>
              <w:rPr>
                <w:rFonts w:ascii="微软雅黑" w:hAnsi="微软雅黑" w:eastAsia="微软雅黑" w:cs="微软雅黑"/>
                <w:color w:val="auto"/>
                <w:spacing w:val="-3"/>
                <w:sz w:val="28"/>
                <w:szCs w:val="28"/>
              </w:rPr>
              <w:t>,000+</w:t>
            </w:r>
          </w:p>
        </w:tc>
      </w:tr>
    </w:tbl>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微软雅黑"/>
          <w:b/>
          <w:bCs/>
          <w:sz w:val="40"/>
          <w:szCs w:val="40"/>
          <w:lang w:val="en-US" w:eastAsia="zh-CN"/>
        </w:rPr>
      </w:pP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t>市场机遇</w:t>
      </w: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sz w:val="28"/>
          <w:szCs w:val="28"/>
        </w:rPr>
      </w:pPr>
      <w:r>
        <w:rPr>
          <w:position w:val="-71"/>
        </w:rPr>
        <w:drawing>
          <wp:inline distT="0" distB="0" distL="0" distR="0">
            <wp:extent cx="6480175" cy="2879725"/>
            <wp:effectExtent l="0" t="0" r="15875" b="15875"/>
            <wp:docPr id="8" name="IM 8" descr="E:/李姗/MIE/2025招展资料/1.14-16 世界未来能源峰会暨展览会/_R4_2467.jpg_R4_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 8" descr="E:/李姗/MIE/2025招展资料/1.14-16 世界未来能源峰会暨展览会/_R4_2467.jpg_R4_2467"/>
                    <pic:cNvPicPr>
                      <a:picLocks noChangeAspect="1"/>
                    </pic:cNvPicPr>
                  </pic:nvPicPr>
                  <pic:blipFill>
                    <a:blip r:embed="rId7"/>
                    <a:srcRect t="9069" b="9069"/>
                    <a:stretch>
                      <a:fillRect/>
                    </a:stretch>
                  </pic:blipFill>
                  <pic:spPr>
                    <a:xfrm>
                      <a:off x="0" y="0"/>
                      <a:ext cx="6480175" cy="287972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spacing w:after="200" w:line="360" w:lineRule="auto"/>
        <w:ind w:firstLine="576" w:firstLineChars="200"/>
        <w:jc w:val="both"/>
        <w:textAlignment w:val="baseline"/>
        <w:rPr>
          <w:rFonts w:hint="eastAsia" w:ascii="微软雅黑" w:hAnsi="微软雅黑" w:eastAsia="微软雅黑"/>
          <w:sz w:val="28"/>
          <w:szCs w:val="28"/>
          <w:lang w:val="en-US" w:eastAsia="zh-CN"/>
        </w:rPr>
      </w:pPr>
      <w:r>
        <w:rPr>
          <w:rFonts w:ascii="Microsoft YaHei UI" w:hAnsi="Microsoft YaHei UI" w:eastAsia="Microsoft YaHei UI" w:cs="Microsoft YaHei UI"/>
          <w:i w:val="0"/>
          <w:iCs w:val="0"/>
          <w:caps w:val="0"/>
          <w:spacing w:val="9"/>
          <w:sz w:val="27"/>
          <w:szCs w:val="27"/>
          <w:shd w:val="clear" w:fill="FFFFFF"/>
        </w:rPr>
        <w:t>　</w:t>
      </w:r>
      <w:r>
        <w:rPr>
          <w:rFonts w:hint="eastAsia" w:ascii="微软雅黑" w:hAnsi="微软雅黑" w:eastAsia="微软雅黑"/>
          <w:sz w:val="28"/>
          <w:szCs w:val="28"/>
          <w:lang w:val="en-US" w:eastAsia="zh-CN"/>
        </w:rPr>
        <w:t>阿联酋境内沙漠地带广阔，终年光照充足。以光伏发电为例，阿联酋地处中东低纬度区域，降水稀少，光照条件优越，全国每平方米年均太阳辐射量高达2200千瓦时，日照甚至比撒哈拉大沙漠还要强烈，发展太阳能发电的自然条件得天独厚，年均有效发电时长可高达3000到4000小时。</w:t>
      </w:r>
    </w:p>
    <w:p>
      <w:pPr>
        <w:keepNext w:val="0"/>
        <w:keepLines w:val="0"/>
        <w:pageBreakBefore w:val="0"/>
        <w:widowControl/>
        <w:kinsoku w:val="0"/>
        <w:wordWrap/>
        <w:overflowPunct/>
        <w:topLinePunct w:val="0"/>
        <w:autoSpaceDE w:val="0"/>
        <w:autoSpaceDN w:val="0"/>
        <w:bidi w:val="0"/>
        <w:adjustRightInd w:val="0"/>
        <w:snapToGrid/>
        <w:spacing w:after="200" w:line="360" w:lineRule="auto"/>
        <w:ind w:firstLine="560" w:firstLineChars="20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丰富的太阳能资源使光伏发电成为阿联酋理想的清洁能源替代方案。根据能源研究所的最新数据，目前阿联酋人均太阳能消耗量位居全球第二。</w:t>
      </w:r>
    </w:p>
    <w:p>
      <w:pPr>
        <w:keepNext w:val="0"/>
        <w:keepLines w:val="0"/>
        <w:pageBreakBefore w:val="0"/>
        <w:widowControl/>
        <w:kinsoku w:val="0"/>
        <w:wordWrap/>
        <w:overflowPunct/>
        <w:topLinePunct w:val="0"/>
        <w:autoSpaceDE w:val="0"/>
        <w:autoSpaceDN w:val="0"/>
        <w:bidi w:val="0"/>
        <w:adjustRightInd w:val="0"/>
        <w:snapToGrid/>
        <w:spacing w:after="200" w:line="360" w:lineRule="auto"/>
        <w:ind w:firstLine="560" w:firstLineChars="20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世界能源统计年鉴》发布的研究显示，阿联酋在太阳能使用方面排名中东北非地区第一，全球第四。在氢能方面，阿联酋能源和基础设施部部长苏海勒·马兹鲁伊表示，该部已制定明确计划，目标是让阿联酋成为氢出口国，并占据不低于25%的全球氢市场份额。</w:t>
      </w:r>
    </w:p>
    <w:p>
      <w:pPr>
        <w:keepNext w:val="0"/>
        <w:keepLines w:val="0"/>
        <w:pageBreakBefore w:val="0"/>
        <w:widowControl/>
        <w:kinsoku w:val="0"/>
        <w:wordWrap/>
        <w:overflowPunct/>
        <w:topLinePunct w:val="0"/>
        <w:autoSpaceDE w:val="0"/>
        <w:autoSpaceDN w:val="0"/>
        <w:bidi w:val="0"/>
        <w:adjustRightInd w:val="0"/>
        <w:snapToGrid/>
        <w:spacing w:after="200" w:line="360" w:lineRule="auto"/>
        <w:ind w:firstLine="560" w:firstLineChars="20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联合国也对阿联酋在新能源上的发展高度认可，七个相关国际机构在2020年将阿联酋列为世界前10大在清洁能源发展上拥有突出贡献的国家之一。</w:t>
      </w:r>
    </w:p>
    <w:p>
      <w:pPr>
        <w:keepNext w:val="0"/>
        <w:keepLines w:val="0"/>
        <w:pageBreakBefore w:val="0"/>
        <w:widowControl/>
        <w:kinsoku w:val="0"/>
        <w:wordWrap/>
        <w:overflowPunct/>
        <w:topLinePunct w:val="0"/>
        <w:autoSpaceDE w:val="0"/>
        <w:autoSpaceDN w:val="0"/>
        <w:bidi w:val="0"/>
        <w:adjustRightInd w:val="0"/>
        <w:snapToGrid/>
        <w:spacing w:after="200" w:line="360" w:lineRule="auto"/>
        <w:ind w:firstLine="560" w:firstLineChars="20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阿联酋能源和石油事务次长谢里夫·奥拉马表示，阿联酋致力于采纳最先进的清洁能源技术和实践。2023年，阿联酋更新了《2050年阿联酋能源战略》，提高清洁能源在能源结构中的比例。战略目标包括到2030年能源消费效率提高至42%-45%，可再生能源份额翻倍，清洁能源装机容量从14.2吉瓦增至19.8吉瓦，占总能源结构的30%。”</w:t>
      </w:r>
    </w:p>
    <w:p>
      <w:pPr>
        <w:keepNext w:val="0"/>
        <w:keepLines w:val="0"/>
        <w:pageBreakBefore w:val="0"/>
        <w:widowControl/>
        <w:kinsoku w:val="0"/>
        <w:wordWrap/>
        <w:overflowPunct/>
        <w:topLinePunct w:val="0"/>
        <w:autoSpaceDE w:val="0"/>
        <w:autoSpaceDN w:val="0"/>
        <w:bidi w:val="0"/>
        <w:adjustRightInd w:val="0"/>
        <w:snapToGrid/>
        <w:spacing w:after="200" w:line="360" w:lineRule="auto"/>
        <w:ind w:firstLine="560" w:firstLineChars="20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此外，阿联酋还推出了《2050年国家氢能战略》，旨在建立低排放氢的生产和供应体系。奥拉马透露，该战略计划到2031年实现每年生产1500万吨低排放氢的目标，从而确立阿联酋在全球氢能领域的领先地位。</w:t>
      </w:r>
    </w:p>
    <w:p>
      <w:pPr>
        <w:keepNext w:val="0"/>
        <w:keepLines w:val="0"/>
        <w:pageBreakBefore w:val="0"/>
        <w:widowControl/>
        <w:kinsoku w:val="0"/>
        <w:wordWrap/>
        <w:overflowPunct/>
        <w:topLinePunct w:val="0"/>
        <w:autoSpaceDE w:val="0"/>
        <w:autoSpaceDN w:val="0"/>
        <w:bidi w:val="0"/>
        <w:adjustRightInd w:val="0"/>
        <w:snapToGrid/>
        <w:spacing w:after="200" w:line="360" w:lineRule="auto"/>
        <w:ind w:firstLine="560" w:firstLineChars="20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奥拉马强调，阿联酋作为一个具有前瞻性的国家，正通过实施这些战略为下一代建设一个可持续的未来。他表示，阿联酋将坚定不移地推动清洁能源转型，并在实现气候变化减缓目标上稳步前行，为全球可持续发展贡献自己的力量。</w:t>
      </w: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宋体"/>
          <w:kern w:val="0"/>
          <w:sz w:val="43"/>
          <w:szCs w:val="43"/>
          <w:lang w:val="en-US" w:eastAsia="zh-CN"/>
        </w:rPr>
      </w:pPr>
      <w:bookmarkStart w:id="0" w:name="_GoBack"/>
      <w:bookmarkEnd w:id="0"/>
      <w:r>
        <w:rPr>
          <w:rFonts w:hint="eastAsia" w:ascii="微软雅黑" w:hAnsi="微软雅黑" w:eastAsia="微软雅黑" w:cs="微软雅黑"/>
          <w:b/>
          <w:bCs/>
          <w:sz w:val="40"/>
          <w:szCs w:val="40"/>
          <w:lang w:val="en-US" w:eastAsia="zh-CN"/>
        </w:rPr>
        <w:t>参展范围</w:t>
      </w: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宋体"/>
          <w:kern w:val="0"/>
          <w:sz w:val="43"/>
          <w:szCs w:val="43"/>
          <w:lang w:val="en-US" w:eastAsia="zh-CN"/>
        </w:rPr>
      </w:pPr>
      <w:r>
        <w:rPr>
          <w:rFonts w:hint="eastAsia" w:ascii="微软雅黑" w:hAnsi="微软雅黑" w:eastAsia="微软雅黑" w:cs="宋体"/>
          <w:kern w:val="0"/>
          <w:sz w:val="43"/>
          <w:szCs w:val="43"/>
          <w:lang w:val="en-US" w:eastAsia="zh-CN"/>
        </w:rPr>
        <w:drawing>
          <wp:inline distT="0" distB="0" distL="114300" distR="114300">
            <wp:extent cx="6480175" cy="2879725"/>
            <wp:effectExtent l="0" t="0" r="15875" b="15875"/>
            <wp:docPr id="5" name="图片 5" descr="E:/李姗/MIE/2025招展资料/1.14-16 世界未来能源峰会暨展览会/_R4_2629.jpg_R4_2629"/>
            <wp:cNvGraphicFramePr/>
            <a:graphic xmlns:a="http://schemas.openxmlformats.org/drawingml/2006/main">
              <a:graphicData uri="http://schemas.openxmlformats.org/drawingml/2006/picture">
                <pic:pic xmlns:pic="http://schemas.openxmlformats.org/drawingml/2006/picture">
                  <pic:nvPicPr>
                    <pic:cNvPr id="5" name="图片 5" descr="E:/李姗/MIE/2025招展资料/1.14-16 世界未来能源峰会暨展览会/_R4_2629.jpg_R4_2629"/>
                    <pic:cNvPicPr/>
                  </pic:nvPicPr>
                  <pic:blipFill>
                    <a:blip r:embed="rId8"/>
                    <a:srcRect t="8560" b="8560"/>
                    <a:stretch>
                      <a:fillRect/>
                    </a:stretch>
                  </pic:blipFill>
                  <pic:spPr>
                    <a:xfrm>
                      <a:off x="0" y="0"/>
                      <a:ext cx="6480175" cy="2879725"/>
                    </a:xfrm>
                    <a:prstGeom prst="rect">
                      <a:avLst/>
                    </a:prstGeom>
                  </pic:spPr>
                </pic:pic>
              </a:graphicData>
            </a:graphic>
          </wp:inline>
        </w:drawing>
      </w:r>
    </w:p>
    <w:p>
      <w:pPr>
        <w:keepNext w:val="0"/>
        <w:keepLines w:val="0"/>
        <w:pageBreakBefore w:val="0"/>
        <w:widowControl w:val="0"/>
        <w:numPr>
          <w:ilvl w:val="0"/>
          <w:numId w:val="1"/>
        </w:numPr>
        <w:shd w:val="clear" w:color="auto" w:fill="FFFFFF"/>
        <w:kinsoku/>
        <w:wordWrap w:val="0"/>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sz w:val="28"/>
          <w:szCs w:val="28"/>
        </w:rPr>
      </w:pPr>
      <w:r>
        <w:rPr>
          <w:rFonts w:hint="eastAsia" w:ascii="微软雅黑" w:hAnsi="微软雅黑" w:eastAsia="微软雅黑"/>
          <w:b/>
          <w:bCs/>
          <w:sz w:val="28"/>
          <w:szCs w:val="28"/>
        </w:rPr>
        <w:t>太阳能：</w:t>
      </w:r>
      <w:r>
        <w:rPr>
          <w:rFonts w:hint="eastAsia" w:ascii="微软雅黑" w:hAnsi="微软雅黑" w:eastAsia="微软雅黑"/>
          <w:sz w:val="28"/>
          <w:szCs w:val="28"/>
          <w:lang w:eastAsia="zh-CN"/>
        </w:rPr>
        <w:t>储能技术、光伏跟踪系统、咨询/顾问服务、项目开发商和EPC公司、屋顶太阳能光伏系统、CSP储能、运营和维护服务、公用事业规模光伏系统、CSP线性菲涅耳系统、光伏电池和组件、贸易和工业协会、CSP抛物面碟形系统、光伏支架系统、监管和公用事业、CSP抛物线槽系统、光伏逆变器、CSP Power Tower 系统、光伏组件；</w:t>
      </w:r>
    </w:p>
    <w:p>
      <w:pPr>
        <w:keepNext w:val="0"/>
        <w:keepLines w:val="0"/>
        <w:pageBreakBefore w:val="0"/>
        <w:widowControl w:val="0"/>
        <w:numPr>
          <w:ilvl w:val="0"/>
          <w:numId w:val="1"/>
        </w:numPr>
        <w:shd w:val="clear" w:color="auto" w:fill="FFFFFF"/>
        <w:kinsoku/>
        <w:wordWrap w:val="0"/>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sz w:val="28"/>
          <w:szCs w:val="28"/>
        </w:rPr>
      </w:pPr>
      <w:r>
        <w:rPr>
          <w:rFonts w:hint="eastAsia" w:ascii="微软雅黑" w:hAnsi="微软雅黑" w:eastAsia="微软雅黑"/>
          <w:b/>
          <w:bCs/>
          <w:sz w:val="28"/>
          <w:szCs w:val="28"/>
          <w:lang w:val="en-US" w:eastAsia="zh-CN"/>
        </w:rPr>
        <w:t>生态垃圾：</w:t>
      </w:r>
      <w:r>
        <w:rPr>
          <w:rFonts w:hint="eastAsia" w:ascii="微软雅黑" w:hAnsi="微软雅黑" w:eastAsia="微软雅黑"/>
          <w:sz w:val="28"/>
          <w:szCs w:val="28"/>
          <w:lang w:val="en-US" w:eastAsia="zh-CN"/>
        </w:rPr>
        <w:t>设施管理、废物管理解决方案和设备、咨询与工程服务、工业与危险废物、垃圾焚烧发电、分离与加工、有机废物、街道清洁与维护、废物储存、回收和生物降解、垃圾收集车、政府监管机构和市政当局、废物管理服务提供商、医疗废物、贸易和工业协会、智能废物管理产品和系统、电子垃圾；</w:t>
      </w:r>
    </w:p>
    <w:p>
      <w:pPr>
        <w:keepNext w:val="0"/>
        <w:keepLines w:val="0"/>
        <w:pageBreakBefore w:val="0"/>
        <w:widowControl w:val="0"/>
        <w:numPr>
          <w:ilvl w:val="0"/>
          <w:numId w:val="1"/>
        </w:numPr>
        <w:shd w:val="clear" w:color="auto" w:fill="FFFFFF"/>
        <w:kinsoku/>
        <w:wordWrap w:val="0"/>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sz w:val="28"/>
          <w:szCs w:val="28"/>
          <w:lang w:val="en-US" w:eastAsia="zh-CN"/>
        </w:rPr>
      </w:pPr>
      <w:r>
        <w:rPr>
          <w:rFonts w:hint="eastAsia" w:ascii="微软雅黑" w:hAnsi="微软雅黑" w:eastAsia="微软雅黑"/>
          <w:b/>
          <w:bCs/>
          <w:sz w:val="28"/>
          <w:szCs w:val="28"/>
          <w:lang w:val="en-US" w:eastAsia="zh-CN"/>
        </w:rPr>
        <w:t>水资源：</w:t>
      </w:r>
      <w:r>
        <w:rPr>
          <w:rFonts w:hint="eastAsia" w:ascii="微软雅黑" w:hAnsi="微软雅黑" w:eastAsia="微软雅黑"/>
          <w:sz w:val="28"/>
          <w:szCs w:val="28"/>
          <w:lang w:val="en-US" w:eastAsia="zh-CN"/>
        </w:rPr>
        <w:t>智能资产管理与技术、</w:t>
      </w:r>
      <w:r>
        <w:rPr>
          <w:rFonts w:hint="default" w:ascii="微软雅黑" w:hAnsi="微软雅黑" w:eastAsia="微软雅黑"/>
          <w:sz w:val="28"/>
          <w:szCs w:val="28"/>
          <w:lang w:val="en-US" w:eastAsia="zh-CN"/>
        </w:rPr>
        <w:t>水和废水处理与再利用</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水设备与解决方案</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灌溉技术与系统</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水的生产和提取</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项目管理与咨询</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水-能源-纽带</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供水和污水处理网络</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海水淡化厂和解决方案</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运维解决方案</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独立水生产商（IWP）、工厂开发商和运营商</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政府监管机构和公用事业</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贸易和工业协会</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其他</w:t>
      </w:r>
      <w:r>
        <w:rPr>
          <w:rFonts w:hint="eastAsia" w:ascii="微软雅黑" w:hAnsi="微软雅黑" w:eastAsia="微软雅黑"/>
          <w:sz w:val="28"/>
          <w:szCs w:val="28"/>
          <w:lang w:val="en-US" w:eastAsia="zh-CN"/>
        </w:rPr>
        <w:t>；</w:t>
      </w:r>
    </w:p>
    <w:p>
      <w:pPr>
        <w:keepNext w:val="0"/>
        <w:keepLines w:val="0"/>
        <w:pageBreakBefore w:val="0"/>
        <w:widowControl w:val="0"/>
        <w:numPr>
          <w:ilvl w:val="0"/>
          <w:numId w:val="1"/>
        </w:numPr>
        <w:shd w:val="clear" w:color="auto" w:fill="FFFFFF"/>
        <w:kinsoku/>
        <w:wordWrap w:val="0"/>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sz w:val="28"/>
          <w:szCs w:val="28"/>
          <w:lang w:val="en-US" w:eastAsia="zh-CN"/>
        </w:rPr>
      </w:pPr>
      <w:r>
        <w:rPr>
          <w:rFonts w:hint="eastAsia" w:ascii="微软雅黑" w:hAnsi="微软雅黑" w:eastAsia="微软雅黑"/>
          <w:b/>
          <w:bCs/>
          <w:sz w:val="28"/>
          <w:szCs w:val="28"/>
          <w:lang w:val="en-US" w:eastAsia="zh-CN"/>
        </w:rPr>
        <w:t>清洁能源：</w:t>
      </w:r>
      <w:r>
        <w:rPr>
          <w:rFonts w:hint="eastAsia" w:ascii="微软雅黑" w:hAnsi="微软雅黑" w:eastAsia="微软雅黑"/>
          <w:sz w:val="28"/>
          <w:szCs w:val="28"/>
          <w:lang w:val="en-US" w:eastAsia="zh-CN"/>
        </w:rPr>
        <w:t>生物能源、地热能、太阳能、碳管理与封存(CSS)、氢、废物转化为能源、储能系统的组件和设备、水电、风能、政府监管机构和公用事业、核能、IPP、开发商和EPC、储能服务、石油与天然气、贸易和工业协会、储能系统、智能电网、储能技术；</w:t>
      </w:r>
    </w:p>
    <w:p>
      <w:pPr>
        <w:keepNext w:val="0"/>
        <w:keepLines w:val="0"/>
        <w:pageBreakBefore w:val="0"/>
        <w:widowControl w:val="0"/>
        <w:numPr>
          <w:ilvl w:val="0"/>
          <w:numId w:val="1"/>
        </w:numPr>
        <w:shd w:val="clear" w:color="auto" w:fill="FFFFFF"/>
        <w:kinsoku/>
        <w:wordWrap w:val="0"/>
        <w:overflowPunct/>
        <w:topLinePunct w:val="0"/>
        <w:autoSpaceDE/>
        <w:autoSpaceDN/>
        <w:bidi w:val="0"/>
        <w:adjustRightInd/>
        <w:snapToGrid/>
        <w:spacing w:line="360" w:lineRule="auto"/>
        <w:ind w:left="420" w:leftChars="0" w:hanging="420" w:firstLineChars="0"/>
        <w:jc w:val="left"/>
        <w:textAlignment w:val="auto"/>
        <w:rPr>
          <w:rFonts w:hint="eastAsia" w:ascii="微软雅黑" w:hAnsi="微软雅黑" w:eastAsia="微软雅黑"/>
          <w:sz w:val="28"/>
          <w:szCs w:val="28"/>
          <w:lang w:val="en-US" w:eastAsia="zh-CN"/>
        </w:rPr>
      </w:pPr>
      <w:r>
        <w:rPr>
          <w:rFonts w:hint="eastAsia" w:ascii="微软雅黑" w:hAnsi="微软雅黑" w:eastAsia="微软雅黑"/>
          <w:b/>
          <w:bCs/>
          <w:sz w:val="28"/>
          <w:szCs w:val="28"/>
          <w:lang w:val="en-US" w:eastAsia="zh-CN"/>
        </w:rPr>
        <w:t>智慧城市：</w:t>
      </w:r>
      <w:r>
        <w:rPr>
          <w:rFonts w:hint="eastAsia" w:ascii="微软雅黑" w:hAnsi="微软雅黑" w:eastAsia="微软雅黑"/>
          <w:sz w:val="28"/>
          <w:szCs w:val="28"/>
          <w:lang w:val="en-US" w:eastAsia="zh-CN"/>
        </w:rPr>
        <w:t>建筑围护结构、拼车系统、垂直起降技术、建筑服务、管理与咨询、智慧健康、城市规划开发商、咨询和项目管理政府当局、建筑技术与创新、智能建筑和基础设施材料、冷却和加热、智能服务、贸易和工业协会、高效照明、智能技术、低排放和电动汽车、智能技术(硬件、机器人)、公共交通、交通基础设施；</w:t>
      </w:r>
    </w:p>
    <w:p>
      <w:pPr>
        <w:keepNext w:val="0"/>
        <w:keepLines w:val="0"/>
        <w:pageBreakBefore w:val="0"/>
        <w:widowControl w:val="0"/>
        <w:numPr>
          <w:ilvl w:val="0"/>
          <w:numId w:val="1"/>
        </w:numPr>
        <w:shd w:val="clear" w:color="auto" w:fill="FFFFFF"/>
        <w:kinsoku/>
        <w:wordWrap w:val="0"/>
        <w:overflowPunct/>
        <w:topLinePunct w:val="0"/>
        <w:autoSpaceDE/>
        <w:autoSpaceDN/>
        <w:bidi w:val="0"/>
        <w:adjustRightInd/>
        <w:snapToGrid/>
        <w:spacing w:line="360" w:lineRule="auto"/>
        <w:ind w:left="420" w:leftChars="0" w:hanging="420" w:firstLineChars="0"/>
        <w:jc w:val="left"/>
        <w:textAlignment w:val="auto"/>
        <w:rPr>
          <w:rFonts w:hint="default" w:ascii="微软雅黑" w:hAnsi="微软雅黑" w:eastAsia="微软雅黑" w:cs="宋体"/>
          <w:color w:val="333333"/>
          <w:kern w:val="0"/>
          <w:szCs w:val="21"/>
          <w:lang w:val="en-US" w:eastAsia="zh-CN"/>
        </w:rPr>
      </w:pPr>
      <w:r>
        <w:rPr>
          <w:rFonts w:hint="eastAsia" w:ascii="微软雅黑" w:hAnsi="微软雅黑" w:eastAsia="微软雅黑"/>
          <w:b/>
          <w:bCs/>
          <w:sz w:val="28"/>
          <w:szCs w:val="28"/>
          <w:lang w:val="en-US" w:eastAsia="zh-CN"/>
        </w:rPr>
        <w:t>气候与环境：</w:t>
      </w:r>
      <w:r>
        <w:rPr>
          <w:rFonts w:hint="eastAsia" w:ascii="微软雅黑" w:hAnsi="微软雅黑" w:eastAsia="微软雅黑"/>
          <w:sz w:val="28"/>
          <w:szCs w:val="28"/>
          <w:lang w:val="en-US" w:eastAsia="zh-CN"/>
        </w:rPr>
        <w:t>空气质量与污染、风险管理与应急响应、污染场地和土壤、可持续金融、生物多样性与生态系统保护、脱碳解决方案与技术、食品与农业、政府当局和环境机构、弹性基础设施、贸易和工业协会、仪器、气象与分析；</w:t>
      </w:r>
    </w:p>
    <w:sectPr>
      <w:pgSz w:w="11906" w:h="16838"/>
      <w:pgMar w:top="567" w:right="850" w:bottom="567" w:left="85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4FA6A2"/>
    <w:multiLevelType w:val="singleLevel"/>
    <w:tmpl w:val="984FA6A2"/>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596"/>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wZTUyNjZlMWNiZTRhYWQ0OWNkYjI5YjM0NGI4NGUifQ=="/>
  </w:docVars>
  <w:rsids>
    <w:rsidRoot w:val="00000000"/>
    <w:rsid w:val="000C3512"/>
    <w:rsid w:val="02AF1DD6"/>
    <w:rsid w:val="09CF085B"/>
    <w:rsid w:val="0A454882"/>
    <w:rsid w:val="0A6006F4"/>
    <w:rsid w:val="0B365CE9"/>
    <w:rsid w:val="0E924B5C"/>
    <w:rsid w:val="0F2C7498"/>
    <w:rsid w:val="101E1709"/>
    <w:rsid w:val="14077076"/>
    <w:rsid w:val="159F1811"/>
    <w:rsid w:val="18B1709C"/>
    <w:rsid w:val="18F87996"/>
    <w:rsid w:val="21DB0CE2"/>
    <w:rsid w:val="23A83C63"/>
    <w:rsid w:val="268414FC"/>
    <w:rsid w:val="2A8F34E6"/>
    <w:rsid w:val="310223B3"/>
    <w:rsid w:val="39DA08C9"/>
    <w:rsid w:val="39F46A0E"/>
    <w:rsid w:val="4024057B"/>
    <w:rsid w:val="421F3775"/>
    <w:rsid w:val="442C5396"/>
    <w:rsid w:val="442F0DBC"/>
    <w:rsid w:val="45340519"/>
    <w:rsid w:val="45C866FF"/>
    <w:rsid w:val="497F2993"/>
    <w:rsid w:val="49990697"/>
    <w:rsid w:val="4AA97882"/>
    <w:rsid w:val="4E0A20C3"/>
    <w:rsid w:val="51491824"/>
    <w:rsid w:val="53CA6A5F"/>
    <w:rsid w:val="57192812"/>
    <w:rsid w:val="58F53702"/>
    <w:rsid w:val="59B86A9F"/>
    <w:rsid w:val="5C1653F4"/>
    <w:rsid w:val="5C412695"/>
    <w:rsid w:val="5C970FB3"/>
    <w:rsid w:val="5D5F32BF"/>
    <w:rsid w:val="5E007B96"/>
    <w:rsid w:val="60C507AD"/>
    <w:rsid w:val="6145156F"/>
    <w:rsid w:val="62806114"/>
    <w:rsid w:val="67DD4B2A"/>
    <w:rsid w:val="683242A3"/>
    <w:rsid w:val="68991CCA"/>
    <w:rsid w:val="6A365CE0"/>
    <w:rsid w:val="6FD967A8"/>
    <w:rsid w:val="700A27C3"/>
    <w:rsid w:val="703F2826"/>
    <w:rsid w:val="72283F71"/>
    <w:rsid w:val="732E1154"/>
    <w:rsid w:val="74C30200"/>
    <w:rsid w:val="76422D7F"/>
    <w:rsid w:val="76FD2C98"/>
    <w:rsid w:val="7C8820A3"/>
    <w:rsid w:val="7EAB63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微软雅黑" w:hAnsi="微软雅黑" w:eastAsia="微软雅黑" w:cs="微软雅黑"/>
      <w:sz w:val="21"/>
      <w:szCs w:val="21"/>
      <w:lang w:val="en-US" w:eastAsia="en-US" w:bidi="ar-SA"/>
    </w:r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6">
    <w:name w:val="Strong"/>
    <w:basedOn w:val="5"/>
    <w:autoRedefine/>
    <w:qFormat/>
    <w:uiPriority w:val="0"/>
    <w:rPr>
      <w:b/>
    </w:rPr>
  </w:style>
  <w:style w:type="table" w:customStyle="1" w:styleId="7">
    <w:name w:val="Table Normal"/>
    <w:autoRedefine/>
    <w:semiHidden/>
    <w:unhideWhenUsed/>
    <w:qFormat/>
    <w:uiPriority w:val="0"/>
    <w:tblPr>
      <w:tblCellMar>
        <w:top w:w="0" w:type="dxa"/>
        <w:left w:w="0" w:type="dxa"/>
        <w:bottom w:w="0" w:type="dxa"/>
        <w:right w:w="0" w:type="dxa"/>
      </w:tblCellMar>
    </w:tblPr>
  </w:style>
  <w:style w:type="paragraph" w:styleId="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1211</Words>
  <Characters>1323</Characters>
  <Lines>0</Lines>
  <Paragraphs>0</Paragraphs>
  <TotalTime>3</TotalTime>
  <ScaleCrop>false</ScaleCrop>
  <LinksUpToDate>false</LinksUpToDate>
  <CharactersWithSpaces>1342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2023-09-28T00:45:00Z</dcterms:created>
  <dc:creator>admin</dc:creator>
  <cp:lastModifiedBy>WPS_1699857115</cp:lastModifiedBy>
  <dcterms:modified xsi:type="dcterms:W3CDTF">2024-07-12T06:57:28Z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D587F0D87A854DE6A7F81288F7E8A489_12</vt:lpwstr>
  </property>
</Properties>
</file>