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5B22BB">
      <w:pPr>
        <w:jc w:val="center"/>
        <w:rPr>
          <w:rFonts w:hint="eastAsia" w:eastAsia="宋体"/>
          <w:lang w:eastAsia="zh-CN"/>
        </w:rPr>
      </w:pPr>
      <w:r>
        <w:rPr>
          <w:rFonts w:hint="eastAsia" w:eastAsia="宋体"/>
          <w:lang w:eastAsia="zh-CN"/>
        </w:rPr>
        <w:drawing>
          <wp:inline distT="0" distB="0" distL="114300" distR="114300">
            <wp:extent cx="6426835" cy="2856865"/>
            <wp:effectExtent l="0" t="0" r="12065" b="635"/>
            <wp:docPr id="4" name="图片 4" descr="微信图片_202309271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0927141834"/>
                    <pic:cNvPicPr>
                      <a:picLocks noChangeAspect="1"/>
                    </pic:cNvPicPr>
                  </pic:nvPicPr>
                  <pic:blipFill>
                    <a:blip r:embed="rId4"/>
                    <a:stretch>
                      <a:fillRect/>
                    </a:stretch>
                  </pic:blipFill>
                  <pic:spPr>
                    <a:xfrm>
                      <a:off x="0" y="0"/>
                      <a:ext cx="6426835" cy="2856865"/>
                    </a:xfrm>
                    <a:prstGeom prst="rect">
                      <a:avLst/>
                    </a:prstGeom>
                  </pic:spPr>
                </pic:pic>
              </a:graphicData>
            </a:graphic>
          </wp:inline>
        </w:drawing>
      </w:r>
    </w:p>
    <w:p w14:paraId="7D672DEB">
      <w:pPr>
        <w:spacing w:after="185"/>
        <w:jc w:val="center"/>
      </w:pPr>
      <w:r>
        <w:rPr>
          <w:rFonts w:hint="eastAsia" w:ascii="微软雅黑" w:hAnsi="微软雅黑" w:eastAsia="微软雅黑" w:cs="微软雅黑"/>
          <w:b/>
          <w:bCs/>
          <w:kern w:val="0"/>
          <w:sz w:val="72"/>
          <w:szCs w:val="72"/>
          <w:lang w:val="en-US" w:eastAsia="zh-CN"/>
        </w:rPr>
        <w:t>2025年</w:t>
      </w:r>
      <w:r>
        <w:rPr>
          <w:rFonts w:hint="eastAsia" w:ascii="微软雅黑" w:hAnsi="微软雅黑" w:eastAsia="微软雅黑"/>
          <w:b/>
          <w:kern w:val="0"/>
          <w:sz w:val="72"/>
          <w:szCs w:val="72"/>
        </w:rPr>
        <w:t>沙特医院</w:t>
      </w:r>
      <w:r>
        <w:rPr>
          <w:rFonts w:hint="eastAsia" w:ascii="微软雅黑" w:hAnsi="微软雅黑" w:eastAsia="微软雅黑"/>
          <w:b/>
          <w:kern w:val="0"/>
          <w:sz w:val="72"/>
          <w:szCs w:val="72"/>
          <w:lang w:val="en-US" w:eastAsia="zh-CN"/>
        </w:rPr>
        <w:t>设计和</w:t>
      </w:r>
      <w:r>
        <w:rPr>
          <w:rFonts w:hint="eastAsia" w:ascii="微软雅黑" w:hAnsi="微软雅黑" w:eastAsia="微软雅黑"/>
          <w:b/>
          <w:kern w:val="0"/>
          <w:sz w:val="72"/>
          <w:szCs w:val="72"/>
        </w:rPr>
        <w:t>建设展</w:t>
      </w:r>
    </w:p>
    <w:p w14:paraId="286F44AE">
      <w:pPr>
        <w:jc w:val="center"/>
      </w:pPr>
    </w:p>
    <w:p w14:paraId="7DC824AA">
      <w:pPr>
        <w:jc w:val="center"/>
      </w:pPr>
    </w:p>
    <w:p w14:paraId="42CD8150">
      <w:pPr>
        <w:jc w:val="center"/>
      </w:pPr>
      <w:r>
        <w:drawing>
          <wp:inline distT="0" distB="0" distL="0" distR="0">
            <wp:extent cx="2353310" cy="457835"/>
            <wp:effectExtent l="0" t="0" r="8890" b="18415"/>
            <wp:docPr id="1" name="图片 1" descr="E:/李姗/MIE/2025招展资料/2.24-27 沙特医院建设展/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李姗/MIE/2025招展资料/2.24-27 沙特医院建设展/1.png1"/>
                    <pic:cNvPicPr>
                      <a:picLocks noChangeAspect="1"/>
                    </pic:cNvPicPr>
                  </pic:nvPicPr>
                  <pic:blipFill>
                    <a:blip r:embed="rId5"/>
                    <a:srcRect l="-643" r="84"/>
                    <a:stretch>
                      <a:fillRect/>
                    </a:stretch>
                  </pic:blipFill>
                  <pic:spPr>
                    <a:xfrm>
                      <a:off x="0" y="0"/>
                      <a:ext cx="2353310" cy="457835"/>
                    </a:xfrm>
                    <a:prstGeom prst="rect">
                      <a:avLst/>
                    </a:prstGeom>
                  </pic:spPr>
                </pic:pic>
              </a:graphicData>
            </a:graphic>
          </wp:inline>
        </w:drawing>
      </w:r>
    </w:p>
    <w:p w14:paraId="6E4E1868">
      <w:pPr>
        <w:jc w:val="center"/>
        <w:rPr>
          <w:rFonts w:hint="eastAsia" w:ascii="微软雅黑" w:hAnsi="微软雅黑" w:eastAsia="微软雅黑" w:cs="微软雅黑"/>
          <w:b/>
          <w:bCs/>
          <w:sz w:val="18"/>
          <w:szCs w:val="18"/>
          <w:lang w:val="en-US" w:eastAsia="zh-CN"/>
        </w:rPr>
      </w:pPr>
    </w:p>
    <w:p w14:paraId="3D1DFE31">
      <w:pPr>
        <w:jc w:val="left"/>
        <w:rPr>
          <w:rFonts w:hint="eastAsia" w:ascii="微软雅黑" w:hAnsi="微软雅黑" w:eastAsia="微软雅黑" w:cs="微软雅黑"/>
          <w:b/>
          <w:bCs/>
          <w:sz w:val="40"/>
          <w:szCs w:val="40"/>
          <w:lang w:val="en-US" w:eastAsia="zh-CN"/>
        </w:rPr>
      </w:pPr>
      <w:r>
        <w:rPr>
          <w:rFonts w:hint="eastAsia" w:ascii="微软雅黑" w:hAnsi="微软雅黑" w:eastAsia="微软雅黑" w:cs="微软雅黑"/>
          <w:b/>
          <w:bCs/>
          <w:sz w:val="40"/>
          <w:szCs w:val="40"/>
          <w:lang w:val="en-US" w:eastAsia="zh-CN"/>
        </w:rPr>
        <w:t>展会介绍</w:t>
      </w:r>
    </w:p>
    <w:p w14:paraId="613D9B37">
      <w:pPr>
        <w:pStyle w:val="4"/>
        <w:spacing w:before="159" w:line="187" w:lineRule="auto"/>
        <w:ind w:left="169"/>
        <w:jc w:val="left"/>
        <w:rPr>
          <w:b/>
          <w:bCs/>
          <w:color w:val="050E17"/>
          <w:spacing w:val="9"/>
          <w:sz w:val="28"/>
          <w:szCs w:val="28"/>
        </w:rPr>
      </w:pPr>
      <w:r>
        <w:rPr>
          <w:rFonts w:hint="eastAsia"/>
          <w:b/>
          <w:bCs/>
          <w:color w:val="050E17"/>
          <w:spacing w:val="5"/>
          <w:sz w:val="28"/>
          <w:szCs w:val="28"/>
        </w:rPr>
        <w:t>●</w:t>
      </w:r>
      <w:r>
        <w:rPr>
          <w:rFonts w:hint="eastAsia"/>
          <w:b/>
          <w:bCs/>
          <w:color w:val="050E17"/>
          <w:spacing w:val="5"/>
          <w:sz w:val="28"/>
          <w:szCs w:val="28"/>
          <w:lang w:val="en-US" w:eastAsia="zh-CN"/>
        </w:rPr>
        <w:t xml:space="preserve"> </w:t>
      </w:r>
      <w:r>
        <w:rPr>
          <w:b/>
          <w:bCs/>
          <w:color w:val="050E17"/>
          <w:spacing w:val="9"/>
          <w:sz w:val="28"/>
          <w:szCs w:val="28"/>
        </w:rPr>
        <w:t>展会时间</w:t>
      </w:r>
      <w:r>
        <w:rPr>
          <w:rFonts w:hint="eastAsia"/>
          <w:b/>
          <w:bCs/>
          <w:color w:val="050E17"/>
          <w:spacing w:val="9"/>
          <w:sz w:val="28"/>
          <w:szCs w:val="28"/>
          <w:lang w:eastAsia="zh-CN"/>
        </w:rPr>
        <w:t>：</w:t>
      </w:r>
      <w:r>
        <w:rPr>
          <w:b/>
          <w:bCs/>
          <w:color w:val="050E17"/>
          <w:spacing w:val="9"/>
          <w:sz w:val="28"/>
          <w:szCs w:val="28"/>
        </w:rPr>
        <w:t>202</w:t>
      </w:r>
      <w:r>
        <w:rPr>
          <w:rFonts w:hint="eastAsia"/>
          <w:b/>
          <w:bCs/>
          <w:color w:val="050E17"/>
          <w:spacing w:val="9"/>
          <w:sz w:val="28"/>
          <w:szCs w:val="28"/>
          <w:lang w:val="en-US" w:eastAsia="zh-CN"/>
        </w:rPr>
        <w:t>5</w:t>
      </w:r>
      <w:r>
        <w:rPr>
          <w:b/>
          <w:bCs/>
          <w:color w:val="050E17"/>
          <w:spacing w:val="9"/>
          <w:sz w:val="28"/>
          <w:szCs w:val="28"/>
        </w:rPr>
        <w:t>年</w:t>
      </w:r>
      <w:r>
        <w:rPr>
          <w:rFonts w:hint="eastAsia"/>
          <w:b/>
          <w:bCs/>
          <w:color w:val="050E17"/>
          <w:spacing w:val="9"/>
          <w:sz w:val="28"/>
          <w:szCs w:val="28"/>
          <w:lang w:val="en-US" w:eastAsia="zh-CN"/>
        </w:rPr>
        <w:t>02</w:t>
      </w:r>
      <w:r>
        <w:rPr>
          <w:b/>
          <w:bCs/>
          <w:color w:val="050E17"/>
          <w:spacing w:val="9"/>
          <w:sz w:val="28"/>
          <w:szCs w:val="28"/>
        </w:rPr>
        <w:t>月</w:t>
      </w:r>
      <w:r>
        <w:rPr>
          <w:rFonts w:hint="eastAsia"/>
          <w:b/>
          <w:bCs/>
          <w:color w:val="050E17"/>
          <w:spacing w:val="9"/>
          <w:sz w:val="28"/>
          <w:szCs w:val="28"/>
          <w:lang w:val="en-US" w:eastAsia="zh-CN"/>
        </w:rPr>
        <w:t>24-27</w:t>
      </w:r>
      <w:r>
        <w:rPr>
          <w:b/>
          <w:bCs/>
          <w:color w:val="050E17"/>
          <w:spacing w:val="9"/>
          <w:sz w:val="28"/>
          <w:szCs w:val="28"/>
        </w:rPr>
        <w:t>日</w:t>
      </w:r>
      <w:r>
        <w:rPr>
          <w:rFonts w:hint="eastAsia"/>
          <w:b/>
          <w:bCs/>
          <w:color w:val="050E17"/>
          <w:spacing w:val="9"/>
          <w:sz w:val="28"/>
          <w:szCs w:val="28"/>
          <w:lang w:val="en-US" w:eastAsia="zh-CN"/>
        </w:rPr>
        <w:t xml:space="preserve">      </w:t>
      </w:r>
      <w:r>
        <w:rPr>
          <w:b/>
          <w:bCs/>
          <w:color w:val="050E17"/>
          <w:spacing w:val="9"/>
          <w:sz w:val="28"/>
          <w:szCs w:val="28"/>
        </w:rPr>
        <w:t>展会地点</w:t>
      </w:r>
      <w:r>
        <w:rPr>
          <w:rFonts w:hint="eastAsia"/>
          <w:b/>
          <w:bCs/>
          <w:color w:val="050E17"/>
          <w:spacing w:val="9"/>
          <w:sz w:val="28"/>
          <w:szCs w:val="28"/>
          <w:lang w:eastAsia="zh-CN"/>
        </w:rPr>
        <w:t>：</w:t>
      </w:r>
      <w:r>
        <w:rPr>
          <w:b/>
          <w:bCs/>
          <w:color w:val="050E17"/>
          <w:spacing w:val="9"/>
          <w:sz w:val="28"/>
          <w:szCs w:val="28"/>
        </w:rPr>
        <w:t>利雅得</w:t>
      </w:r>
      <w:r>
        <w:rPr>
          <w:rFonts w:hint="eastAsia"/>
          <w:b/>
          <w:bCs/>
          <w:color w:val="050E17"/>
          <w:spacing w:val="9"/>
          <w:sz w:val="28"/>
          <w:szCs w:val="28"/>
          <w:lang w:val="en-US" w:eastAsia="zh-CN"/>
        </w:rPr>
        <w:t>前沿会展</w:t>
      </w:r>
      <w:r>
        <w:rPr>
          <w:b/>
          <w:bCs/>
          <w:color w:val="050E17"/>
          <w:spacing w:val="9"/>
          <w:sz w:val="28"/>
          <w:szCs w:val="28"/>
        </w:rPr>
        <w:t>中心</w:t>
      </w:r>
    </w:p>
    <w:p w14:paraId="749D5B57">
      <w:pPr>
        <w:pStyle w:val="4"/>
        <w:spacing w:before="159" w:line="187" w:lineRule="auto"/>
        <w:ind w:left="169"/>
        <w:jc w:val="left"/>
        <w:rPr>
          <w:rFonts w:hint="default"/>
          <w:b/>
          <w:bCs/>
          <w:color w:val="050E17"/>
          <w:spacing w:val="9"/>
          <w:sz w:val="28"/>
          <w:szCs w:val="28"/>
          <w:lang w:val="en-US" w:eastAsia="zh-CN"/>
        </w:rPr>
      </w:pPr>
      <w:r>
        <w:rPr>
          <w:rFonts w:hint="eastAsia"/>
          <w:b/>
          <w:bCs/>
          <w:color w:val="050E17"/>
          <w:spacing w:val="9"/>
          <w:sz w:val="28"/>
          <w:szCs w:val="28"/>
        </w:rPr>
        <w:t>●</w:t>
      </w:r>
      <w:r>
        <w:rPr>
          <w:rFonts w:hint="eastAsia"/>
          <w:b/>
          <w:bCs/>
          <w:color w:val="050E17"/>
          <w:spacing w:val="9"/>
          <w:sz w:val="28"/>
          <w:szCs w:val="28"/>
          <w:lang w:val="en-US" w:eastAsia="zh-CN"/>
        </w:rPr>
        <w:t xml:space="preserve"> </w:t>
      </w:r>
      <w:r>
        <w:rPr>
          <w:b/>
          <w:bCs/>
          <w:color w:val="050E17"/>
          <w:spacing w:val="9"/>
          <w:sz w:val="28"/>
          <w:szCs w:val="28"/>
        </w:rPr>
        <w:t>主办单位</w:t>
      </w:r>
      <w:r>
        <w:rPr>
          <w:rFonts w:hint="eastAsia"/>
          <w:b/>
          <w:bCs/>
          <w:color w:val="050E17"/>
          <w:spacing w:val="9"/>
          <w:sz w:val="28"/>
          <w:szCs w:val="28"/>
          <w:lang w:eastAsia="zh-CN"/>
        </w:rPr>
        <w:t>：</w:t>
      </w:r>
      <w:r>
        <w:rPr>
          <w:b/>
          <w:bCs/>
          <w:color w:val="050E17"/>
          <w:spacing w:val="9"/>
          <w:sz w:val="28"/>
          <w:szCs w:val="28"/>
        </w:rPr>
        <w:t>DMG</w:t>
      </w:r>
      <w:r>
        <w:rPr>
          <w:rFonts w:hint="eastAsia"/>
          <w:b/>
          <w:bCs/>
          <w:color w:val="050E17"/>
          <w:spacing w:val="9"/>
          <w:sz w:val="28"/>
          <w:szCs w:val="28"/>
          <w:lang w:val="en-US" w:eastAsia="zh-CN"/>
        </w:rPr>
        <w:t xml:space="preserve">                     展会类型：建筑建材</w:t>
      </w:r>
    </w:p>
    <w:p w14:paraId="6A728E17">
      <w:pPr>
        <w:pStyle w:val="4"/>
        <w:spacing w:before="96" w:line="188" w:lineRule="auto"/>
        <w:ind w:left="169"/>
        <w:jc w:val="left"/>
        <w:rPr>
          <w:rFonts w:hint="eastAsia"/>
          <w:b/>
          <w:bCs/>
          <w:color w:val="auto"/>
          <w:spacing w:val="5"/>
          <w:sz w:val="24"/>
          <w:szCs w:val="24"/>
          <w:lang w:val="en-US" w:eastAsia="zh-CN"/>
        </w:rPr>
      </w:pPr>
      <w:r>
        <w:rPr>
          <w:position w:val="-61"/>
        </w:rPr>
        <w:drawing>
          <wp:anchor distT="0" distB="0" distL="0" distR="0" simplePos="0" relativeHeight="251659264" behindDoc="0" locked="0" layoutInCell="1" allowOverlap="1">
            <wp:simplePos x="0" y="0"/>
            <wp:positionH relativeFrom="column">
              <wp:posOffset>35560</wp:posOffset>
            </wp:positionH>
            <wp:positionV relativeFrom="paragraph">
              <wp:posOffset>144145</wp:posOffset>
            </wp:positionV>
            <wp:extent cx="6416675" cy="2728595"/>
            <wp:effectExtent l="0" t="0" r="3175" b="14605"/>
            <wp:wrapTopAndBottom/>
            <wp:docPr id="6" name="IM 6" descr="E:/李姗/MIE/招展资料—改后/2024.9/9.09-11 沙特医院建设展(SHBDE)/2 (1).png2 (1)"/>
            <wp:cNvGraphicFramePr/>
            <a:graphic xmlns:a="http://schemas.openxmlformats.org/drawingml/2006/main">
              <a:graphicData uri="http://schemas.openxmlformats.org/drawingml/2006/picture">
                <pic:pic xmlns:pic="http://schemas.openxmlformats.org/drawingml/2006/picture">
                  <pic:nvPicPr>
                    <pic:cNvPr id="6" name="IM 6" descr="E:/李姗/MIE/招展资料—改后/2024.9/9.09-11 沙特医院建设展(SHBDE)/2 (1).png2 (1)"/>
                    <pic:cNvPicPr/>
                  </pic:nvPicPr>
                  <pic:blipFill>
                    <a:blip r:embed="rId6"/>
                    <a:srcRect t="16007" b="16007"/>
                    <a:stretch>
                      <a:fillRect/>
                    </a:stretch>
                  </pic:blipFill>
                  <pic:spPr>
                    <a:xfrm>
                      <a:off x="0" y="0"/>
                      <a:ext cx="6416675" cy="2728595"/>
                    </a:xfrm>
                    <a:prstGeom prst="rect">
                      <a:avLst/>
                    </a:prstGeom>
                  </pic:spPr>
                </pic:pic>
              </a:graphicData>
            </a:graphic>
          </wp:anchor>
        </w:drawing>
      </w:r>
    </w:p>
    <w:p w14:paraId="1CB8CB06">
      <w:pPr>
        <w:keepNext w:val="0"/>
        <w:keepLines w:val="0"/>
        <w:pageBreakBefore w:val="0"/>
        <w:widowControl/>
        <w:kinsoku w:val="0"/>
        <w:wordWrap/>
        <w:overflowPunct/>
        <w:topLinePunct w:val="0"/>
        <w:autoSpaceDE w:val="0"/>
        <w:autoSpaceDN w:val="0"/>
        <w:bidi w:val="0"/>
        <w:adjustRightInd w:val="0"/>
        <w:snapToGrid/>
        <w:spacing w:line="360" w:lineRule="auto"/>
        <w:ind w:firstLine="560" w:firstLineChars="200"/>
        <w:jc w:val="both"/>
        <w:textAlignment w:val="baseline"/>
        <w:rPr>
          <w:rFonts w:hint="eastAsia" w:ascii="微软雅黑" w:hAnsi="微软雅黑" w:eastAsia="微软雅黑"/>
          <w:sz w:val="28"/>
          <w:szCs w:val="28"/>
        </w:rPr>
      </w:pPr>
      <w:r>
        <w:rPr>
          <w:rFonts w:hint="eastAsia" w:ascii="微软雅黑" w:hAnsi="微软雅黑" w:eastAsia="微软雅黑"/>
          <w:sz w:val="28"/>
          <w:szCs w:val="28"/>
        </w:rPr>
        <w:t>沙特医院</w:t>
      </w:r>
      <w:r>
        <w:rPr>
          <w:rFonts w:hint="eastAsia" w:ascii="微软雅黑" w:hAnsi="微软雅黑" w:eastAsia="微软雅黑"/>
          <w:sz w:val="28"/>
          <w:szCs w:val="28"/>
          <w:lang w:val="en-US" w:eastAsia="zh-CN"/>
        </w:rPr>
        <w:t>设计和</w:t>
      </w:r>
      <w:r>
        <w:rPr>
          <w:rFonts w:hint="eastAsia" w:ascii="微软雅黑" w:hAnsi="微软雅黑" w:eastAsia="微软雅黑"/>
          <w:sz w:val="28"/>
          <w:szCs w:val="28"/>
        </w:rPr>
        <w:t>建设展由</w:t>
      </w:r>
      <w:r>
        <w:rPr>
          <w:rFonts w:hint="eastAsia" w:ascii="微软雅黑" w:hAnsi="微软雅黑" w:eastAsia="微软雅黑"/>
          <w:sz w:val="28"/>
          <w:szCs w:val="28"/>
          <w:lang w:val="en-US" w:eastAsia="zh-CN"/>
        </w:rPr>
        <w:t>英国</w:t>
      </w:r>
      <w:r>
        <w:rPr>
          <w:rFonts w:hint="eastAsia" w:ascii="微软雅黑" w:hAnsi="微软雅黑" w:eastAsia="微软雅黑"/>
          <w:sz w:val="28"/>
          <w:szCs w:val="28"/>
        </w:rPr>
        <w:t>DMG</w:t>
      </w:r>
      <w:r>
        <w:rPr>
          <w:rFonts w:hint="eastAsia" w:ascii="微软雅黑" w:hAnsi="微软雅黑" w:eastAsia="微软雅黑"/>
          <w:sz w:val="28"/>
          <w:szCs w:val="28"/>
          <w:lang w:val="en-US" w:eastAsia="zh-CN"/>
        </w:rPr>
        <w:t>集团</w:t>
      </w:r>
      <w:r>
        <w:rPr>
          <w:rFonts w:hint="eastAsia" w:ascii="微软雅黑" w:hAnsi="微软雅黑" w:eastAsia="微软雅黑"/>
          <w:sz w:val="28"/>
          <w:szCs w:val="28"/>
        </w:rPr>
        <w:t>主办，</w:t>
      </w:r>
      <w:r>
        <w:rPr>
          <w:rFonts w:hint="eastAsia" w:ascii="微软雅黑" w:hAnsi="微软雅黑" w:eastAsia="微软雅黑"/>
          <w:sz w:val="28"/>
          <w:szCs w:val="28"/>
          <w:lang w:val="en-US" w:eastAsia="zh-CN"/>
        </w:rPr>
        <w:t>得到了</w:t>
      </w:r>
      <w:r>
        <w:rPr>
          <w:rFonts w:hint="eastAsia" w:ascii="微软雅黑" w:hAnsi="微软雅黑" w:eastAsia="微软雅黑"/>
          <w:sz w:val="28"/>
          <w:szCs w:val="28"/>
        </w:rPr>
        <w:t>沙特五大行业展（沙特阿拉伯地区影响力最大的建筑建材类展会之一）大力支持</w:t>
      </w:r>
      <w:r>
        <w:rPr>
          <w:rFonts w:hint="eastAsia" w:ascii="微软雅黑" w:hAnsi="微软雅黑" w:eastAsia="微软雅黑"/>
          <w:sz w:val="28"/>
          <w:szCs w:val="28"/>
          <w:lang w:eastAsia="zh-CN"/>
        </w:rPr>
        <w:t>，</w:t>
      </w:r>
      <w:r>
        <w:rPr>
          <w:rFonts w:hint="eastAsia" w:ascii="微软雅黑" w:hAnsi="微软雅黑" w:eastAsia="微软雅黑"/>
          <w:sz w:val="28"/>
          <w:szCs w:val="28"/>
        </w:rPr>
        <w:t>将于202</w:t>
      </w:r>
      <w:r>
        <w:rPr>
          <w:rFonts w:hint="eastAsia" w:ascii="微软雅黑" w:hAnsi="微软雅黑" w:eastAsia="微软雅黑"/>
          <w:sz w:val="28"/>
          <w:szCs w:val="28"/>
          <w:lang w:val="en-US" w:eastAsia="zh-CN"/>
        </w:rPr>
        <w:t>5</w:t>
      </w:r>
      <w:r>
        <w:rPr>
          <w:rFonts w:hint="eastAsia" w:ascii="微软雅黑" w:hAnsi="微软雅黑" w:eastAsia="微软雅黑"/>
          <w:sz w:val="28"/>
          <w:szCs w:val="28"/>
        </w:rPr>
        <w:t>年</w:t>
      </w:r>
      <w:r>
        <w:rPr>
          <w:rFonts w:hint="eastAsia" w:ascii="微软雅黑" w:hAnsi="微软雅黑" w:eastAsia="微软雅黑"/>
          <w:sz w:val="28"/>
          <w:szCs w:val="28"/>
          <w:lang w:val="en-US" w:eastAsia="zh-CN"/>
        </w:rPr>
        <w:t>02</w:t>
      </w:r>
      <w:r>
        <w:rPr>
          <w:rFonts w:hint="eastAsia" w:ascii="微软雅黑" w:hAnsi="微软雅黑" w:eastAsia="微软雅黑"/>
          <w:sz w:val="28"/>
          <w:szCs w:val="28"/>
        </w:rPr>
        <w:t>月</w:t>
      </w:r>
      <w:r>
        <w:rPr>
          <w:rFonts w:hint="eastAsia" w:ascii="微软雅黑" w:hAnsi="微软雅黑" w:eastAsia="微软雅黑"/>
          <w:sz w:val="28"/>
          <w:szCs w:val="28"/>
          <w:lang w:val="en-US" w:eastAsia="zh-CN"/>
        </w:rPr>
        <w:t>24-27</w:t>
      </w:r>
      <w:r>
        <w:rPr>
          <w:rFonts w:hint="eastAsia" w:ascii="微软雅黑" w:hAnsi="微软雅黑" w:eastAsia="微软雅黑"/>
          <w:sz w:val="28"/>
          <w:szCs w:val="28"/>
        </w:rPr>
        <w:t>日在沙特利雅得</w:t>
      </w:r>
      <w:r>
        <w:rPr>
          <w:rFonts w:hint="eastAsia" w:ascii="微软雅黑" w:hAnsi="微软雅黑" w:eastAsia="微软雅黑"/>
          <w:sz w:val="28"/>
          <w:szCs w:val="28"/>
          <w:lang w:val="en-US" w:eastAsia="zh-CN"/>
        </w:rPr>
        <w:t>前沿</w:t>
      </w:r>
      <w:r>
        <w:rPr>
          <w:rFonts w:hint="eastAsia" w:ascii="微软雅黑" w:hAnsi="微软雅黑" w:eastAsia="微软雅黑"/>
          <w:sz w:val="28"/>
          <w:szCs w:val="28"/>
        </w:rPr>
        <w:t>会展中心举办，展会将吸引超百家展商超</w:t>
      </w:r>
      <w:r>
        <w:rPr>
          <w:rFonts w:hint="eastAsia" w:ascii="微软雅黑" w:hAnsi="微软雅黑" w:eastAsia="微软雅黑"/>
          <w:sz w:val="28"/>
          <w:szCs w:val="28"/>
          <w:lang w:val="en-US" w:eastAsia="zh-CN"/>
        </w:rPr>
        <w:t>5</w:t>
      </w:r>
      <w:r>
        <w:rPr>
          <w:rFonts w:hint="eastAsia" w:ascii="微软雅黑" w:hAnsi="微软雅黑" w:eastAsia="微软雅黑"/>
          <w:sz w:val="28"/>
          <w:szCs w:val="28"/>
        </w:rPr>
        <w:t>000名行业精英参加，展出面积超1</w:t>
      </w:r>
      <w:r>
        <w:rPr>
          <w:rFonts w:hint="eastAsia" w:ascii="微软雅黑" w:hAnsi="微软雅黑" w:eastAsia="微软雅黑"/>
          <w:sz w:val="28"/>
          <w:szCs w:val="28"/>
          <w:lang w:val="en-US" w:eastAsia="zh-CN"/>
        </w:rPr>
        <w:t>5</w:t>
      </w:r>
      <w:r>
        <w:rPr>
          <w:rFonts w:hint="eastAsia" w:ascii="微软雅黑" w:hAnsi="微软雅黑" w:eastAsia="微软雅黑"/>
          <w:sz w:val="28"/>
          <w:szCs w:val="28"/>
        </w:rPr>
        <w:t>，000平方米。</w:t>
      </w:r>
    </w:p>
    <w:p w14:paraId="0A284698">
      <w:pPr>
        <w:keepNext w:val="0"/>
        <w:keepLines w:val="0"/>
        <w:pageBreakBefore w:val="0"/>
        <w:widowControl/>
        <w:kinsoku w:val="0"/>
        <w:wordWrap/>
        <w:overflowPunct/>
        <w:topLinePunct w:val="0"/>
        <w:autoSpaceDE w:val="0"/>
        <w:autoSpaceDN w:val="0"/>
        <w:bidi w:val="0"/>
        <w:adjustRightInd w:val="0"/>
        <w:snapToGrid/>
        <w:spacing w:line="360" w:lineRule="auto"/>
        <w:ind w:firstLine="560" w:firstLineChars="200"/>
        <w:jc w:val="both"/>
        <w:textAlignment w:val="baseline"/>
        <w:rPr>
          <w:rFonts w:hint="eastAsia" w:ascii="微软雅黑" w:hAnsi="微软雅黑" w:eastAsia="微软雅黑"/>
          <w:sz w:val="28"/>
          <w:szCs w:val="28"/>
        </w:rPr>
      </w:pPr>
      <w:r>
        <w:rPr>
          <w:rFonts w:hint="eastAsia" w:ascii="微软雅黑" w:hAnsi="微软雅黑" w:eastAsia="微软雅黑"/>
          <w:sz w:val="28"/>
          <w:szCs w:val="28"/>
        </w:rPr>
        <w:t>202</w:t>
      </w:r>
      <w:r>
        <w:rPr>
          <w:rFonts w:hint="eastAsia" w:ascii="微软雅黑" w:hAnsi="微软雅黑" w:eastAsia="微软雅黑"/>
          <w:sz w:val="28"/>
          <w:szCs w:val="28"/>
          <w:lang w:val="en-US" w:eastAsia="zh-CN"/>
        </w:rPr>
        <w:t>5年</w:t>
      </w:r>
      <w:r>
        <w:rPr>
          <w:rFonts w:hint="eastAsia" w:ascii="微软雅黑" w:hAnsi="微软雅黑" w:eastAsia="微软雅黑"/>
          <w:sz w:val="28"/>
          <w:szCs w:val="28"/>
        </w:rPr>
        <w:t>沙特医院</w:t>
      </w:r>
      <w:r>
        <w:rPr>
          <w:rFonts w:hint="eastAsia" w:ascii="微软雅黑" w:hAnsi="微软雅黑" w:eastAsia="微软雅黑"/>
          <w:sz w:val="28"/>
          <w:szCs w:val="28"/>
          <w:lang w:val="en-US" w:eastAsia="zh-CN"/>
        </w:rPr>
        <w:t>设计和</w:t>
      </w:r>
      <w:r>
        <w:rPr>
          <w:rFonts w:hint="eastAsia" w:ascii="微软雅黑" w:hAnsi="微软雅黑" w:eastAsia="微软雅黑"/>
          <w:sz w:val="28"/>
          <w:szCs w:val="28"/>
        </w:rPr>
        <w:t>建设展为参与医疗行业基础设施和建筑的专业人士提供了一个完美的平台，可以连接、合作并为沙特阿拉伯的医院建筑市场做出贡献。作为此类活动的第一次，它为主要行业利益相关者提供了一个交流合作的机会</w:t>
      </w:r>
      <w:r>
        <w:rPr>
          <w:rFonts w:hint="eastAsia" w:ascii="微软雅黑" w:hAnsi="微软雅黑" w:eastAsia="微软雅黑"/>
          <w:sz w:val="28"/>
          <w:szCs w:val="28"/>
          <w:lang w:eastAsia="zh-CN"/>
        </w:rPr>
        <w:t>，</w:t>
      </w:r>
      <w:r>
        <w:rPr>
          <w:rFonts w:hint="eastAsia" w:ascii="微软雅黑" w:hAnsi="微软雅黑" w:eastAsia="微软雅黑"/>
          <w:sz w:val="28"/>
          <w:szCs w:val="28"/>
        </w:rPr>
        <w:t>沙特医院建设展将成为沙特最大的专注于医院建设的展会之一。</w:t>
      </w:r>
    </w:p>
    <w:tbl>
      <w:tblPr>
        <w:tblStyle w:val="9"/>
        <w:tblpPr w:leftFromText="180" w:rightFromText="180" w:vertAnchor="text" w:horzAnchor="page" w:tblpXSpec="center" w:tblpY="234"/>
        <w:tblOverlap w:val="never"/>
        <w:tblW w:w="96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12"/>
        <w:gridCol w:w="2432"/>
        <w:gridCol w:w="2419"/>
        <w:gridCol w:w="2426"/>
      </w:tblGrid>
      <w:tr w14:paraId="513241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jc w:val="center"/>
        </w:trPr>
        <w:tc>
          <w:tcPr>
            <w:tcW w:w="2412" w:type="dxa"/>
            <w:shd w:val="clear" w:color="auto" w:fill="4069DD"/>
            <w:vAlign w:val="top"/>
          </w:tcPr>
          <w:p w14:paraId="4C40F391">
            <w:pPr>
              <w:spacing w:before="211" w:line="190" w:lineRule="auto"/>
              <w:ind w:left="685"/>
              <w:rPr>
                <w:rFonts w:ascii="微软雅黑" w:hAnsi="微软雅黑" w:eastAsia="微软雅黑" w:cs="微软雅黑"/>
                <w:sz w:val="28"/>
                <w:szCs w:val="28"/>
              </w:rPr>
            </w:pPr>
            <w:r>
              <w:rPr>
                <w:rFonts w:ascii="微软雅黑" w:hAnsi="微软雅黑" w:eastAsia="微软雅黑" w:cs="微软雅黑"/>
                <w:color w:val="FFFFFF"/>
                <w:spacing w:val="3"/>
                <w:sz w:val="28"/>
                <w:szCs w:val="28"/>
              </w:rPr>
              <w:t>国际展商</w:t>
            </w:r>
          </w:p>
        </w:tc>
        <w:tc>
          <w:tcPr>
            <w:tcW w:w="2432" w:type="dxa"/>
            <w:shd w:val="clear" w:color="auto" w:fill="4069DD"/>
            <w:vAlign w:val="top"/>
          </w:tcPr>
          <w:p w14:paraId="57D4BFC5">
            <w:pPr>
              <w:spacing w:before="210" w:line="189" w:lineRule="auto"/>
              <w:ind w:left="681"/>
              <w:rPr>
                <w:rFonts w:ascii="微软雅黑" w:hAnsi="微软雅黑" w:eastAsia="微软雅黑" w:cs="微软雅黑"/>
                <w:sz w:val="28"/>
                <w:szCs w:val="28"/>
              </w:rPr>
            </w:pPr>
            <w:r>
              <w:rPr>
                <w:rFonts w:ascii="微软雅黑" w:hAnsi="微软雅黑" w:eastAsia="微软雅黑" w:cs="微软雅黑"/>
                <w:color w:val="FFFFFF"/>
                <w:spacing w:val="6"/>
                <w:sz w:val="28"/>
                <w:szCs w:val="28"/>
              </w:rPr>
              <w:t>参展人数</w:t>
            </w:r>
          </w:p>
        </w:tc>
        <w:tc>
          <w:tcPr>
            <w:tcW w:w="2419" w:type="dxa"/>
            <w:shd w:val="clear" w:color="auto" w:fill="4069DD"/>
            <w:vAlign w:val="top"/>
          </w:tcPr>
          <w:p w14:paraId="7712D205">
            <w:pPr>
              <w:spacing w:before="210" w:line="191" w:lineRule="auto"/>
              <w:ind w:left="678"/>
              <w:rPr>
                <w:rFonts w:ascii="微软雅黑" w:hAnsi="微软雅黑" w:eastAsia="微软雅黑" w:cs="微软雅黑"/>
                <w:sz w:val="28"/>
                <w:szCs w:val="28"/>
              </w:rPr>
            </w:pPr>
            <w:r>
              <w:rPr>
                <w:rFonts w:ascii="微软雅黑" w:hAnsi="微软雅黑" w:eastAsia="微软雅黑" w:cs="微软雅黑"/>
                <w:color w:val="FFFFFF"/>
                <w:spacing w:val="6"/>
                <w:sz w:val="28"/>
                <w:szCs w:val="28"/>
              </w:rPr>
              <w:t>辐射国家</w:t>
            </w:r>
          </w:p>
        </w:tc>
        <w:tc>
          <w:tcPr>
            <w:tcW w:w="2426" w:type="dxa"/>
            <w:shd w:val="clear" w:color="auto" w:fill="4069DD"/>
            <w:vAlign w:val="top"/>
          </w:tcPr>
          <w:p w14:paraId="530E9E5D">
            <w:pPr>
              <w:spacing w:before="211" w:line="189" w:lineRule="auto"/>
              <w:ind w:left="679"/>
              <w:rPr>
                <w:rFonts w:ascii="微软雅黑" w:hAnsi="微软雅黑" w:eastAsia="微软雅黑" w:cs="微软雅黑"/>
                <w:sz w:val="28"/>
                <w:szCs w:val="28"/>
              </w:rPr>
            </w:pPr>
            <w:r>
              <w:rPr>
                <w:rFonts w:ascii="微软雅黑" w:hAnsi="微软雅黑" w:eastAsia="微软雅黑" w:cs="微软雅黑"/>
                <w:color w:val="FFFFFF"/>
                <w:spacing w:val="7"/>
                <w:sz w:val="28"/>
                <w:szCs w:val="28"/>
              </w:rPr>
              <w:t>展会面积</w:t>
            </w:r>
          </w:p>
        </w:tc>
      </w:tr>
      <w:tr w14:paraId="38AA7F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6" w:hRule="atLeast"/>
          <w:jc w:val="center"/>
        </w:trPr>
        <w:tc>
          <w:tcPr>
            <w:tcW w:w="2412" w:type="dxa"/>
            <w:vAlign w:val="top"/>
          </w:tcPr>
          <w:p w14:paraId="6CD3194B">
            <w:pPr>
              <w:spacing w:before="227" w:line="214" w:lineRule="auto"/>
              <w:ind w:left="826"/>
              <w:rPr>
                <w:rFonts w:ascii="微软雅黑" w:hAnsi="微软雅黑" w:eastAsia="微软雅黑" w:cs="微软雅黑"/>
                <w:sz w:val="28"/>
                <w:szCs w:val="28"/>
              </w:rPr>
            </w:pPr>
            <w:r>
              <w:rPr>
                <w:rFonts w:hint="eastAsia" w:ascii="微软雅黑" w:hAnsi="微软雅黑" w:eastAsia="微软雅黑" w:cs="微软雅黑"/>
                <w:spacing w:val="-8"/>
                <w:sz w:val="28"/>
                <w:szCs w:val="28"/>
                <w:lang w:val="en-US" w:eastAsia="zh-CN"/>
              </w:rPr>
              <w:t>100</w:t>
            </w:r>
            <w:r>
              <w:rPr>
                <w:rFonts w:ascii="微软雅黑" w:hAnsi="微软雅黑" w:eastAsia="微软雅黑" w:cs="微软雅黑"/>
                <w:spacing w:val="-8"/>
                <w:sz w:val="28"/>
                <w:szCs w:val="28"/>
              </w:rPr>
              <w:t>+</w:t>
            </w:r>
          </w:p>
        </w:tc>
        <w:tc>
          <w:tcPr>
            <w:tcW w:w="2432" w:type="dxa"/>
            <w:vAlign w:val="top"/>
          </w:tcPr>
          <w:p w14:paraId="4DE42A6C">
            <w:pPr>
              <w:spacing w:before="225" w:line="197" w:lineRule="auto"/>
              <w:jc w:val="center"/>
              <w:rPr>
                <w:rFonts w:ascii="微软雅黑" w:hAnsi="微软雅黑" w:eastAsia="微软雅黑" w:cs="微软雅黑"/>
                <w:sz w:val="28"/>
                <w:szCs w:val="28"/>
              </w:rPr>
            </w:pPr>
            <w:r>
              <w:rPr>
                <w:rFonts w:hint="eastAsia" w:ascii="微软雅黑" w:hAnsi="微软雅黑" w:eastAsia="微软雅黑" w:cs="微软雅黑"/>
                <w:spacing w:val="-3"/>
                <w:sz w:val="28"/>
                <w:szCs w:val="28"/>
                <w:lang w:val="en-US" w:eastAsia="zh-CN"/>
              </w:rPr>
              <w:t>5</w:t>
            </w:r>
            <w:r>
              <w:rPr>
                <w:rFonts w:ascii="微软雅黑" w:hAnsi="微软雅黑" w:eastAsia="微软雅黑" w:cs="微软雅黑"/>
                <w:spacing w:val="-3"/>
                <w:sz w:val="28"/>
                <w:szCs w:val="28"/>
              </w:rPr>
              <w:t>,000+</w:t>
            </w:r>
          </w:p>
        </w:tc>
        <w:tc>
          <w:tcPr>
            <w:tcW w:w="2419" w:type="dxa"/>
            <w:vAlign w:val="top"/>
          </w:tcPr>
          <w:p w14:paraId="16597173">
            <w:pPr>
              <w:spacing w:before="227" w:line="214" w:lineRule="auto"/>
              <w:ind w:left="933"/>
              <w:rPr>
                <w:rFonts w:ascii="微软雅黑" w:hAnsi="微软雅黑" w:eastAsia="微软雅黑" w:cs="微软雅黑"/>
                <w:sz w:val="28"/>
                <w:szCs w:val="28"/>
              </w:rPr>
            </w:pPr>
            <w:r>
              <w:rPr>
                <w:rFonts w:hint="eastAsia" w:ascii="微软雅黑" w:hAnsi="微软雅黑" w:eastAsia="微软雅黑" w:cs="微软雅黑"/>
                <w:color w:val="auto"/>
                <w:spacing w:val="-10"/>
                <w:sz w:val="28"/>
                <w:szCs w:val="28"/>
                <w:lang w:val="en-US" w:eastAsia="zh-CN"/>
              </w:rPr>
              <w:t>50</w:t>
            </w:r>
            <w:r>
              <w:rPr>
                <w:rFonts w:ascii="微软雅黑" w:hAnsi="微软雅黑" w:eastAsia="微软雅黑" w:cs="微软雅黑"/>
                <w:color w:val="auto"/>
                <w:spacing w:val="-10"/>
                <w:sz w:val="28"/>
                <w:szCs w:val="28"/>
              </w:rPr>
              <w:t>+</w:t>
            </w:r>
          </w:p>
        </w:tc>
        <w:tc>
          <w:tcPr>
            <w:tcW w:w="2426" w:type="dxa"/>
            <w:vAlign w:val="top"/>
          </w:tcPr>
          <w:p w14:paraId="7CBEC44B">
            <w:pPr>
              <w:spacing w:before="225" w:line="197" w:lineRule="auto"/>
              <w:ind w:left="587"/>
              <w:rPr>
                <w:rFonts w:ascii="微软雅黑" w:hAnsi="微软雅黑" w:eastAsia="微软雅黑" w:cs="微软雅黑"/>
                <w:sz w:val="28"/>
                <w:szCs w:val="28"/>
              </w:rPr>
            </w:pPr>
            <w:r>
              <w:rPr>
                <w:rFonts w:hint="eastAsia" w:ascii="微软雅黑" w:hAnsi="微软雅黑" w:eastAsia="微软雅黑" w:cs="微软雅黑"/>
                <w:color w:val="auto"/>
                <w:spacing w:val="-3"/>
                <w:sz w:val="28"/>
                <w:szCs w:val="28"/>
                <w:lang w:val="en-US" w:eastAsia="zh-CN"/>
              </w:rPr>
              <w:t>15</w:t>
            </w:r>
            <w:r>
              <w:rPr>
                <w:rFonts w:ascii="微软雅黑" w:hAnsi="微软雅黑" w:eastAsia="微软雅黑" w:cs="微软雅黑"/>
                <w:color w:val="auto"/>
                <w:spacing w:val="-3"/>
                <w:sz w:val="28"/>
                <w:szCs w:val="28"/>
              </w:rPr>
              <w:t>,000+</w:t>
            </w:r>
          </w:p>
        </w:tc>
      </w:tr>
    </w:tbl>
    <w:p w14:paraId="7B823505">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rFonts w:hint="eastAsia" w:ascii="微软雅黑" w:hAnsi="微软雅黑" w:eastAsia="微软雅黑" w:cs="微软雅黑"/>
          <w:b/>
          <w:bCs/>
          <w:sz w:val="18"/>
          <w:szCs w:val="18"/>
          <w:lang w:val="en-US" w:eastAsia="zh-CN"/>
        </w:rPr>
      </w:pPr>
    </w:p>
    <w:p w14:paraId="7D5D7659">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position w:val="-71"/>
        </w:rPr>
      </w:pPr>
      <w:r>
        <w:rPr>
          <w:rFonts w:hint="eastAsia" w:ascii="微软雅黑" w:hAnsi="微软雅黑" w:eastAsia="微软雅黑" w:cs="微软雅黑"/>
          <w:b/>
          <w:bCs/>
          <w:sz w:val="40"/>
          <w:szCs w:val="40"/>
          <w:lang w:val="en-US" w:eastAsia="zh-CN"/>
        </w:rPr>
        <w:t>市场机遇</w:t>
      </w:r>
    </w:p>
    <w:p w14:paraId="16A30257">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position w:val="-71"/>
        </w:rPr>
      </w:pPr>
      <w:r>
        <w:rPr>
          <w:position w:val="-71"/>
        </w:rPr>
        <w:drawing>
          <wp:inline distT="0" distB="0" distL="0" distR="0">
            <wp:extent cx="6415405" cy="2728595"/>
            <wp:effectExtent l="0" t="0" r="4445" b="14605"/>
            <wp:docPr id="8" name="IM 8" descr="E:/李姗/MIE/招展资料—改后/2024.9/9.09-11 沙特医院建设展(SHBDE)/404-3.jpg404-3"/>
            <wp:cNvGraphicFramePr/>
            <a:graphic xmlns:a="http://schemas.openxmlformats.org/drawingml/2006/main">
              <a:graphicData uri="http://schemas.openxmlformats.org/drawingml/2006/picture">
                <pic:pic xmlns:pic="http://schemas.openxmlformats.org/drawingml/2006/picture">
                  <pic:nvPicPr>
                    <pic:cNvPr id="8" name="IM 8" descr="E:/李姗/MIE/招展资料—改后/2024.9/9.09-11 沙特医院建设展(SHBDE)/404-3.jpg404-3"/>
                    <pic:cNvPicPr/>
                  </pic:nvPicPr>
                  <pic:blipFill>
                    <a:blip r:embed="rId7"/>
                    <a:srcRect t="18064" b="18064"/>
                    <a:stretch>
                      <a:fillRect/>
                    </a:stretch>
                  </pic:blipFill>
                  <pic:spPr>
                    <a:xfrm>
                      <a:off x="0" y="0"/>
                      <a:ext cx="6415405" cy="2728595"/>
                    </a:xfrm>
                    <a:prstGeom prst="rect">
                      <a:avLst/>
                    </a:prstGeom>
                  </pic:spPr>
                </pic:pic>
              </a:graphicData>
            </a:graphic>
          </wp:inline>
        </w:drawing>
      </w:r>
    </w:p>
    <w:p w14:paraId="39A72B71">
      <w:pPr>
        <w:keepNext w:val="0"/>
        <w:keepLines w:val="0"/>
        <w:pageBreakBefore w:val="0"/>
        <w:widowControl w:val="0"/>
        <w:kinsoku/>
        <w:wordWrap/>
        <w:overflowPunct/>
        <w:topLinePunct w:val="0"/>
        <w:autoSpaceDE/>
        <w:autoSpaceDN/>
        <w:bidi w:val="0"/>
        <w:adjustRightInd/>
        <w:snapToGrid/>
        <w:ind w:firstLine="220" w:firstLineChars="200"/>
        <w:textAlignment w:val="auto"/>
        <w:rPr>
          <w:rFonts w:hint="eastAsia" w:ascii="微软雅黑" w:hAnsi="微软雅黑" w:eastAsia="微软雅黑" w:cs="宋体"/>
          <w:kern w:val="0"/>
          <w:sz w:val="11"/>
          <w:szCs w:val="11"/>
        </w:rPr>
      </w:pPr>
    </w:p>
    <w:p w14:paraId="409A0A2D">
      <w:pPr>
        <w:keepNext w:val="0"/>
        <w:keepLines w:val="0"/>
        <w:pageBreakBefore w:val="0"/>
        <w:widowControl/>
        <w:kinsoku w:val="0"/>
        <w:wordWrap/>
        <w:overflowPunct/>
        <w:topLinePunct w:val="0"/>
        <w:autoSpaceDE w:val="0"/>
        <w:autoSpaceDN w:val="0"/>
        <w:bidi w:val="0"/>
        <w:adjustRightInd w:val="0"/>
        <w:snapToGrid/>
        <w:spacing w:after="200" w:line="360" w:lineRule="auto"/>
        <w:ind w:firstLine="560" w:firstLineChars="200"/>
        <w:jc w:val="both"/>
        <w:textAlignment w:val="baseline"/>
        <w:rPr>
          <w:rFonts w:hint="default" w:ascii="微软雅黑" w:hAnsi="微软雅黑" w:eastAsia="微软雅黑"/>
          <w:sz w:val="28"/>
          <w:szCs w:val="28"/>
        </w:rPr>
      </w:pPr>
      <w:r>
        <w:rPr>
          <w:rFonts w:hint="default" w:ascii="微软雅黑" w:hAnsi="微软雅黑" w:eastAsia="微软雅黑"/>
          <w:sz w:val="28"/>
          <w:szCs w:val="28"/>
        </w:rPr>
        <w:t>沙特阿拉伯在海湾合作委员会</w:t>
      </w:r>
      <w:r>
        <w:rPr>
          <w:rFonts w:hint="eastAsia" w:ascii="微软雅黑" w:hAnsi="微软雅黑" w:eastAsia="微软雅黑"/>
          <w:sz w:val="28"/>
          <w:szCs w:val="28"/>
          <w:lang w:val="en-US" w:eastAsia="zh-CN"/>
        </w:rPr>
        <w:t>以1000</w:t>
      </w:r>
      <w:r>
        <w:rPr>
          <w:rFonts w:hint="default" w:ascii="微软雅黑" w:hAnsi="微软雅黑" w:eastAsia="微软雅黑"/>
          <w:sz w:val="28"/>
          <w:szCs w:val="28"/>
        </w:rPr>
        <w:t>亿美元医疗保健总支出中占据主导地位，占</w:t>
      </w:r>
      <w:r>
        <w:rPr>
          <w:rFonts w:hint="eastAsia" w:ascii="微软雅黑" w:hAnsi="微软雅黑" w:eastAsia="微软雅黑"/>
          <w:sz w:val="28"/>
          <w:szCs w:val="28"/>
          <w:lang w:val="en-US" w:eastAsia="zh-CN"/>
        </w:rPr>
        <w:t>总比例的</w:t>
      </w:r>
      <w:r>
        <w:rPr>
          <w:rFonts w:hint="default" w:ascii="微软雅黑" w:hAnsi="微软雅黑" w:eastAsia="微软雅黑"/>
          <w:sz w:val="28"/>
          <w:szCs w:val="28"/>
        </w:rPr>
        <w:t>59%。随着</w:t>
      </w:r>
      <w:r>
        <w:rPr>
          <w:rFonts w:hint="eastAsia" w:ascii="微软雅黑" w:hAnsi="微软雅黑" w:eastAsia="微软雅黑"/>
          <w:sz w:val="28"/>
          <w:szCs w:val="28"/>
          <w:lang w:val="en-US" w:eastAsia="zh-CN"/>
        </w:rPr>
        <w:t>沙特</w:t>
      </w:r>
      <w:r>
        <w:rPr>
          <w:rFonts w:hint="default" w:ascii="微软雅黑" w:hAnsi="微软雅黑" w:eastAsia="微软雅黑"/>
          <w:sz w:val="28"/>
          <w:szCs w:val="28"/>
        </w:rPr>
        <w:t>国家雄心勃勃的发展计划、人口的快速增长和旅游业的蓬勃发展，对先进医疗设施的需求持续飙升。</w:t>
      </w:r>
      <w:r>
        <w:rPr>
          <w:rFonts w:hint="eastAsia" w:ascii="微软雅黑" w:hAnsi="微软雅黑" w:eastAsia="微软雅黑"/>
          <w:sz w:val="28"/>
          <w:szCs w:val="28"/>
          <w:lang w:val="en-US" w:eastAsia="zh-CN"/>
        </w:rPr>
        <w:t>同时，</w:t>
      </w:r>
      <w:r>
        <w:rPr>
          <w:rFonts w:hint="default" w:ascii="微软雅黑" w:hAnsi="微软雅黑" w:eastAsia="微软雅黑"/>
          <w:sz w:val="28"/>
          <w:szCs w:val="28"/>
        </w:rPr>
        <w:t>沙特阿拉伯正在积极推动医院建设，以应对该国老龄化问题，满足日益增长的医疗保健需求。</w:t>
      </w:r>
    </w:p>
    <w:p w14:paraId="49EAB865">
      <w:pPr>
        <w:keepNext w:val="0"/>
        <w:keepLines w:val="0"/>
        <w:pageBreakBefore w:val="0"/>
        <w:widowControl/>
        <w:kinsoku w:val="0"/>
        <w:wordWrap/>
        <w:overflowPunct/>
        <w:topLinePunct w:val="0"/>
        <w:autoSpaceDE w:val="0"/>
        <w:autoSpaceDN w:val="0"/>
        <w:bidi w:val="0"/>
        <w:adjustRightInd w:val="0"/>
        <w:snapToGrid/>
        <w:spacing w:after="200" w:line="360" w:lineRule="auto"/>
        <w:ind w:firstLine="560" w:firstLineChars="200"/>
        <w:jc w:val="both"/>
        <w:textAlignment w:val="baseline"/>
        <w:rPr>
          <w:rFonts w:hint="eastAsia" w:ascii="微软雅黑" w:hAnsi="微软雅黑" w:eastAsia="微软雅黑"/>
          <w:sz w:val="28"/>
          <w:szCs w:val="28"/>
          <w:lang w:eastAsia="zh-CN"/>
        </w:rPr>
      </w:pPr>
      <w:r>
        <w:rPr>
          <w:rFonts w:hint="default" w:ascii="微软雅黑" w:hAnsi="微软雅黑" w:eastAsia="微软雅黑"/>
          <w:sz w:val="28"/>
          <w:szCs w:val="28"/>
        </w:rPr>
        <w:t>医院建设的资金来源主要是政府和企业。在沙特，一些大型国有企业，如沙特基础工业公司（SABIC）和沙特国际医院集团（SHPG）等，正在投资建设医院和医疗中心。沙特政府也正在大力投资医院建设。例如，沙特国王萨勒曼批准了一项耗资10亿沙特里亚尔（约合2.67亿美元）的医疗保健项目，该项目将在首都利雅得建设一座拥有500个床位的医院。与此同时，沙特政府还计划在利雅得建设一座专门治疗肾脏疾病的医院</w:t>
      </w:r>
      <w:r>
        <w:rPr>
          <w:rFonts w:hint="eastAsia" w:ascii="微软雅黑" w:hAnsi="微软雅黑" w:eastAsia="微软雅黑"/>
          <w:sz w:val="28"/>
          <w:szCs w:val="28"/>
          <w:lang w:eastAsia="zh-CN"/>
        </w:rPr>
        <w:t>，</w:t>
      </w:r>
      <w:r>
        <w:rPr>
          <w:rFonts w:hint="default" w:ascii="微软雅黑" w:hAnsi="微软雅黑" w:eastAsia="微软雅黑"/>
          <w:sz w:val="28"/>
          <w:szCs w:val="28"/>
        </w:rPr>
        <w:t>这座医院将拥有100个床位，并提供先进的肾脏治疗技术和设备</w:t>
      </w:r>
      <w:r>
        <w:rPr>
          <w:rFonts w:hint="eastAsia" w:ascii="微软雅黑" w:hAnsi="微软雅黑" w:eastAsia="微软雅黑"/>
          <w:sz w:val="28"/>
          <w:szCs w:val="28"/>
          <w:lang w:eastAsia="zh-CN"/>
        </w:rPr>
        <w:t>。</w:t>
      </w:r>
    </w:p>
    <w:p w14:paraId="5A750728">
      <w:pPr>
        <w:keepNext w:val="0"/>
        <w:keepLines w:val="0"/>
        <w:pageBreakBefore w:val="0"/>
        <w:widowControl/>
        <w:kinsoku w:val="0"/>
        <w:wordWrap/>
        <w:overflowPunct/>
        <w:topLinePunct w:val="0"/>
        <w:autoSpaceDE w:val="0"/>
        <w:autoSpaceDN w:val="0"/>
        <w:bidi w:val="0"/>
        <w:adjustRightInd w:val="0"/>
        <w:snapToGrid/>
        <w:spacing w:after="200" w:line="360" w:lineRule="auto"/>
        <w:ind w:firstLine="560" w:firstLineChars="200"/>
        <w:jc w:val="both"/>
        <w:textAlignment w:val="baseline"/>
        <w:rPr>
          <w:rFonts w:hint="eastAsia" w:ascii="微软雅黑" w:hAnsi="微软雅黑" w:eastAsia="微软雅黑"/>
          <w:sz w:val="28"/>
          <w:szCs w:val="28"/>
          <w:lang w:eastAsia="zh-CN"/>
        </w:rPr>
      </w:pPr>
      <w:r>
        <w:rPr>
          <w:rFonts w:hint="default" w:ascii="微软雅黑" w:hAnsi="微软雅黑" w:eastAsia="微软雅黑"/>
          <w:sz w:val="28"/>
          <w:szCs w:val="28"/>
        </w:rPr>
        <w:t>根据《2030 年愿景》，沙特阿拉伯政府计划投资超过 650 亿美元来发展该国的医疗基础设施、重组医疗服务和保险并将其私有化、在全国推出 21 个“医疗集群”，并扩大电子医疗服务的提供。此外，它的目标是到 2030 年将私营部门的贡献从 40% 增加到 65%，目标是将 290 家医院和 2,300 个初级卫生中心私有化</w:t>
      </w:r>
      <w:r>
        <w:rPr>
          <w:rFonts w:hint="eastAsia" w:ascii="微软雅黑" w:hAnsi="微软雅黑" w:eastAsia="微软雅黑"/>
          <w:sz w:val="28"/>
          <w:szCs w:val="28"/>
          <w:lang w:eastAsia="zh-CN"/>
        </w:rPr>
        <w:t>，</w:t>
      </w:r>
      <w:r>
        <w:rPr>
          <w:rFonts w:hint="default" w:ascii="微软雅黑" w:hAnsi="微软雅黑" w:eastAsia="微软雅黑"/>
          <w:sz w:val="28"/>
          <w:szCs w:val="28"/>
        </w:rPr>
        <w:t>2023年沙特阿拉伯保健和社会发展预算总计500亿美元</w:t>
      </w:r>
      <w:r>
        <w:rPr>
          <w:rFonts w:hint="eastAsia" w:ascii="微软雅黑" w:hAnsi="微软雅黑" w:eastAsia="微软雅黑"/>
          <w:sz w:val="28"/>
          <w:szCs w:val="28"/>
          <w:lang w:eastAsia="zh-CN"/>
        </w:rPr>
        <w:t>，</w:t>
      </w:r>
      <w:r>
        <w:rPr>
          <w:rFonts w:hint="default" w:ascii="微软雅黑" w:hAnsi="微软雅黑" w:eastAsia="微软雅黑"/>
          <w:sz w:val="28"/>
          <w:szCs w:val="28"/>
        </w:rPr>
        <w:t>占</w:t>
      </w:r>
      <w:r>
        <w:rPr>
          <w:rFonts w:hint="eastAsia" w:ascii="微软雅黑" w:hAnsi="微软雅黑" w:eastAsia="微软雅黑"/>
          <w:sz w:val="28"/>
          <w:szCs w:val="28"/>
          <w:lang w:val="en-US" w:eastAsia="zh-CN"/>
        </w:rPr>
        <w:t>沙特</w:t>
      </w:r>
      <w:r>
        <w:rPr>
          <w:rFonts w:hint="default" w:ascii="微软雅黑" w:hAnsi="微软雅黑" w:eastAsia="微软雅黑"/>
          <w:sz w:val="28"/>
          <w:szCs w:val="28"/>
        </w:rPr>
        <w:t>总预算的17%</w:t>
      </w:r>
      <w:r>
        <w:rPr>
          <w:rFonts w:hint="eastAsia" w:ascii="微软雅黑" w:hAnsi="微软雅黑" w:eastAsia="微软雅黑"/>
          <w:sz w:val="28"/>
          <w:szCs w:val="28"/>
          <w:lang w:eastAsia="zh-CN"/>
        </w:rPr>
        <w:t>。</w:t>
      </w:r>
    </w:p>
    <w:p w14:paraId="413A2782">
      <w:pPr>
        <w:keepNext w:val="0"/>
        <w:keepLines w:val="0"/>
        <w:pageBreakBefore w:val="0"/>
        <w:widowControl/>
        <w:kinsoku w:val="0"/>
        <w:wordWrap/>
        <w:overflowPunct/>
        <w:topLinePunct w:val="0"/>
        <w:autoSpaceDE w:val="0"/>
        <w:autoSpaceDN w:val="0"/>
        <w:bidi w:val="0"/>
        <w:adjustRightInd w:val="0"/>
        <w:snapToGrid/>
        <w:spacing w:after="200" w:line="360" w:lineRule="auto"/>
        <w:ind w:firstLine="560" w:firstLineChars="200"/>
        <w:jc w:val="both"/>
        <w:textAlignment w:val="baseline"/>
        <w:rPr>
          <w:rFonts w:hint="default" w:ascii="微软雅黑" w:hAnsi="微软雅黑" w:eastAsia="微软雅黑"/>
          <w:sz w:val="28"/>
          <w:szCs w:val="28"/>
        </w:rPr>
      </w:pPr>
      <w:r>
        <w:rPr>
          <w:rFonts w:hint="default" w:ascii="微软雅黑" w:hAnsi="微软雅黑" w:eastAsia="微软雅黑"/>
          <w:sz w:val="28"/>
          <w:szCs w:val="28"/>
        </w:rPr>
        <w:t>在沙特上市的苏莱曼·哈比卜医疗集团（HMG）表示，它正在花费超过65亿沙特里亚尔（17.3亿美元）建设六家医院。该公司在其2022年年度报告中表示，这些正在进行的项目将在</w:t>
      </w:r>
      <w:r>
        <w:rPr>
          <w:rFonts w:hint="eastAsia" w:ascii="微软雅黑" w:hAnsi="微软雅黑" w:eastAsia="微软雅黑"/>
          <w:sz w:val="28"/>
          <w:szCs w:val="28"/>
          <w:lang w:val="en-US" w:eastAsia="zh-CN"/>
        </w:rPr>
        <w:t>2</w:t>
      </w:r>
      <w:r>
        <w:rPr>
          <w:rFonts w:hint="default" w:ascii="微软雅黑" w:hAnsi="微软雅黑" w:eastAsia="微软雅黑"/>
          <w:sz w:val="28"/>
          <w:szCs w:val="28"/>
        </w:rPr>
        <w:t>023年至2025年之间完成。</w:t>
      </w:r>
    </w:p>
    <w:p w14:paraId="40FC3F39">
      <w:pPr>
        <w:keepNext w:val="0"/>
        <w:keepLines w:val="0"/>
        <w:pageBreakBefore w:val="0"/>
        <w:widowControl/>
        <w:kinsoku w:val="0"/>
        <w:wordWrap/>
        <w:overflowPunct/>
        <w:topLinePunct w:val="0"/>
        <w:autoSpaceDE w:val="0"/>
        <w:autoSpaceDN w:val="0"/>
        <w:bidi w:val="0"/>
        <w:adjustRightInd w:val="0"/>
        <w:snapToGrid/>
        <w:spacing w:after="200" w:line="360" w:lineRule="auto"/>
        <w:ind w:firstLine="560" w:firstLineChars="200"/>
        <w:jc w:val="both"/>
        <w:textAlignment w:val="baseline"/>
        <w:rPr>
          <w:rFonts w:hint="eastAsia" w:ascii="微软雅黑" w:hAnsi="微软雅黑" w:eastAsia="微软雅黑"/>
          <w:sz w:val="28"/>
          <w:szCs w:val="28"/>
          <w:lang w:eastAsia="zh-CN"/>
        </w:rPr>
      </w:pPr>
      <w:r>
        <w:rPr>
          <w:rFonts w:hint="default" w:ascii="微软雅黑" w:hAnsi="微软雅黑" w:eastAsia="微软雅黑"/>
          <w:sz w:val="28"/>
          <w:szCs w:val="28"/>
        </w:rPr>
        <w:t>2024年沙特将在本国几个地区建造若干医院，计划增加看护容量为</w:t>
      </w:r>
      <w:r>
        <w:rPr>
          <w:rFonts w:hint="eastAsia" w:ascii="微软雅黑" w:hAnsi="微软雅黑" w:eastAsia="微软雅黑"/>
          <w:sz w:val="28"/>
          <w:szCs w:val="28"/>
        </w:rPr>
        <w:t>1,100张病床</w:t>
      </w:r>
      <w:r>
        <w:rPr>
          <w:rFonts w:hint="eastAsia" w:ascii="微软雅黑" w:hAnsi="微软雅黑" w:eastAsia="微软雅黑"/>
          <w:sz w:val="28"/>
          <w:szCs w:val="28"/>
          <w:lang w:eastAsia="zh-CN"/>
        </w:rPr>
        <w:t>。</w:t>
      </w:r>
    </w:p>
    <w:p w14:paraId="1A99CDCB">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rFonts w:hint="eastAsia" w:ascii="微软雅黑" w:hAnsi="微软雅黑" w:eastAsia="微软雅黑" w:cs="宋体"/>
          <w:kern w:val="0"/>
          <w:sz w:val="43"/>
          <w:szCs w:val="43"/>
          <w:lang w:val="en-US" w:eastAsia="zh-CN"/>
        </w:rPr>
      </w:pPr>
      <w:r>
        <w:rPr>
          <w:rFonts w:hint="eastAsia" w:ascii="微软雅黑" w:hAnsi="微软雅黑" w:eastAsia="微软雅黑" w:cs="微软雅黑"/>
          <w:b/>
          <w:bCs/>
          <w:sz w:val="40"/>
          <w:szCs w:val="40"/>
          <w:lang w:val="en-US" w:eastAsia="zh-CN"/>
        </w:rPr>
        <w:t>招展范围</w:t>
      </w:r>
      <w:bookmarkStart w:id="0" w:name="_GoBack"/>
      <w:bookmarkEnd w:id="0"/>
    </w:p>
    <w:p w14:paraId="6E28F075">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rFonts w:hint="eastAsia" w:ascii="微软雅黑" w:hAnsi="微软雅黑" w:eastAsia="微软雅黑"/>
          <w:sz w:val="28"/>
          <w:szCs w:val="28"/>
        </w:rPr>
      </w:pPr>
      <w:r>
        <w:rPr>
          <w:rFonts w:hint="eastAsia" w:ascii="微软雅黑" w:hAnsi="微软雅黑" w:eastAsia="微软雅黑" w:cs="宋体"/>
          <w:kern w:val="0"/>
          <w:sz w:val="43"/>
          <w:szCs w:val="43"/>
          <w:lang w:val="en-US" w:eastAsia="zh-CN"/>
        </w:rPr>
        <w:drawing>
          <wp:inline distT="0" distB="0" distL="114300" distR="114300">
            <wp:extent cx="6415405" cy="2728595"/>
            <wp:effectExtent l="0" t="0" r="4445" b="14605"/>
            <wp:docPr id="5" name="图片 5" descr="E:/李姗/MIE/招展资料—改后/2024.9/9.09-11 沙特医院建设展(SHBDE)/news-2-image.pngnews-2-image"/>
            <wp:cNvGraphicFramePr/>
            <a:graphic xmlns:a="http://schemas.openxmlformats.org/drawingml/2006/main">
              <a:graphicData uri="http://schemas.openxmlformats.org/drawingml/2006/picture">
                <pic:pic xmlns:pic="http://schemas.openxmlformats.org/drawingml/2006/picture">
                  <pic:nvPicPr>
                    <pic:cNvPr id="5" name="图片 5" descr="E:/李姗/MIE/招展资料—改后/2024.9/9.09-11 沙特医院建设展(SHBDE)/news-2-image.pngnews-2-image"/>
                    <pic:cNvPicPr/>
                  </pic:nvPicPr>
                  <pic:blipFill>
                    <a:blip r:embed="rId8"/>
                    <a:srcRect t="14560" b="14560"/>
                    <a:stretch>
                      <a:fillRect/>
                    </a:stretch>
                  </pic:blipFill>
                  <pic:spPr>
                    <a:xfrm>
                      <a:off x="0" y="0"/>
                      <a:ext cx="6415405" cy="2728595"/>
                    </a:xfrm>
                    <a:prstGeom prst="rect">
                      <a:avLst/>
                    </a:prstGeom>
                  </pic:spPr>
                </pic:pic>
              </a:graphicData>
            </a:graphic>
          </wp:inline>
        </w:drawing>
      </w:r>
    </w:p>
    <w:p w14:paraId="19D2FC3A">
      <w:pPr>
        <w:widowControl/>
        <w:numPr>
          <w:ilvl w:val="0"/>
          <w:numId w:val="1"/>
        </w:numPr>
        <w:shd w:val="clear" w:color="auto" w:fill="FFFFFF"/>
        <w:wordWrap w:val="0"/>
        <w:spacing w:line="432" w:lineRule="atLeast"/>
        <w:ind w:left="420" w:leftChars="0" w:hanging="420" w:firstLineChars="0"/>
        <w:jc w:val="left"/>
        <w:rPr>
          <w:rFonts w:hint="default" w:ascii="微软雅黑" w:hAnsi="微软雅黑" w:eastAsia="微软雅黑"/>
          <w:sz w:val="28"/>
          <w:szCs w:val="28"/>
          <w:lang w:val="en-US" w:eastAsia="zh-CN"/>
        </w:rPr>
      </w:pPr>
      <w:r>
        <w:rPr>
          <w:rFonts w:hint="eastAsia" w:ascii="微软雅黑" w:hAnsi="微软雅黑" w:eastAsia="微软雅黑"/>
          <w:sz w:val="28"/>
          <w:szCs w:val="28"/>
          <w:lang w:val="en-US" w:eastAsia="zh-CN"/>
        </w:rPr>
        <w:t>医院保健设计及规划、医疗保健建筑与工程咨询、建筑业(建筑商/建材供应商)、施工管理服务、医疗保健咨询公司、医疗设施开发、医疗基础设施、室内/室外景观、IT服务/管理系统、项目管理、机电部、门/地板/一般配件、浴室(配件/家具)、厨房(配件)、暖通空调R、患者沟通系统、病房灯具、实验室家具、存储解决方案、隔断和天花板、门禁系统、消防、质量与认证服务/咨询、救护车(生产商/供应商)、运输、清洗和处理、制冷、医院洗衣和清洁设备、医用气体供应及设备、废物管理和回收系统、电梯和升降机。</w:t>
      </w:r>
    </w:p>
    <w:p w14:paraId="3DAE3380">
      <w:pPr>
        <w:widowControl/>
        <w:numPr>
          <w:ilvl w:val="0"/>
          <w:numId w:val="1"/>
        </w:numPr>
        <w:shd w:val="clear" w:color="auto" w:fill="FFFFFF"/>
        <w:wordWrap w:val="0"/>
        <w:spacing w:line="432" w:lineRule="atLeast"/>
        <w:ind w:left="420" w:leftChars="0" w:hanging="420" w:firstLineChars="0"/>
        <w:jc w:val="left"/>
        <w:rPr>
          <w:rFonts w:hint="eastAsia" w:ascii="微软雅黑" w:hAnsi="微软雅黑" w:eastAsia="微软雅黑"/>
          <w:sz w:val="28"/>
          <w:szCs w:val="28"/>
        </w:rPr>
      </w:pPr>
      <w:r>
        <w:rPr>
          <w:rFonts w:hint="eastAsia" w:ascii="微软雅黑" w:hAnsi="微软雅黑" w:eastAsia="微软雅黑"/>
          <w:b/>
          <w:bCs/>
          <w:sz w:val="28"/>
          <w:szCs w:val="28"/>
        </w:rPr>
        <w:t>智慧医院建设：</w:t>
      </w:r>
      <w:r>
        <w:rPr>
          <w:rFonts w:hint="eastAsia" w:ascii="微软雅黑" w:hAnsi="微软雅黑" w:eastAsia="微软雅黑"/>
          <w:sz w:val="28"/>
          <w:szCs w:val="28"/>
        </w:rPr>
        <w:t>医院信息化整体解决方案、门急诊临床管理系统、输液管理解决方案、电子病历解决方案、收费、费用控制解决方案、查房系统、数据中心、医联体、医疗云，数据中心处理、移动医疗；</w:t>
      </w:r>
    </w:p>
    <w:p w14:paraId="62F29914">
      <w:pPr>
        <w:widowControl/>
        <w:numPr>
          <w:ilvl w:val="0"/>
          <w:numId w:val="1"/>
        </w:numPr>
        <w:shd w:val="clear" w:color="auto" w:fill="FFFFFF"/>
        <w:wordWrap w:val="0"/>
        <w:spacing w:line="432" w:lineRule="atLeast"/>
        <w:ind w:left="420" w:leftChars="0" w:hanging="420" w:firstLineChars="0"/>
        <w:jc w:val="left"/>
        <w:rPr>
          <w:rFonts w:hint="eastAsia" w:ascii="微软雅黑" w:hAnsi="微软雅黑" w:eastAsia="微软雅黑"/>
          <w:sz w:val="28"/>
          <w:szCs w:val="28"/>
        </w:rPr>
      </w:pPr>
      <w:r>
        <w:rPr>
          <w:rFonts w:hint="eastAsia" w:ascii="微软雅黑" w:hAnsi="微软雅黑" w:eastAsia="微软雅黑"/>
          <w:b/>
          <w:bCs/>
          <w:sz w:val="28"/>
          <w:szCs w:val="28"/>
        </w:rPr>
        <w:t>绿色节能解决方案：</w:t>
      </w:r>
      <w:r>
        <w:rPr>
          <w:rFonts w:hint="eastAsia" w:ascii="微软雅黑" w:hAnsi="微软雅黑" w:eastAsia="微软雅黑"/>
          <w:sz w:val="28"/>
          <w:szCs w:val="28"/>
        </w:rPr>
        <w:t>节能照明、医院能耗管理平台与节能解决方案、既有建筑的节能改造、分布式新能源供电系统、空调暖通；医院消毒设备；</w:t>
      </w:r>
    </w:p>
    <w:p w14:paraId="0A6CA482">
      <w:pPr>
        <w:widowControl/>
        <w:numPr>
          <w:ilvl w:val="0"/>
          <w:numId w:val="1"/>
        </w:numPr>
        <w:shd w:val="clear" w:color="auto" w:fill="FFFFFF"/>
        <w:wordWrap w:val="0"/>
        <w:spacing w:line="432" w:lineRule="atLeast"/>
        <w:ind w:left="420" w:leftChars="0" w:hanging="420" w:firstLineChars="0"/>
        <w:jc w:val="left"/>
        <w:rPr>
          <w:rFonts w:hint="eastAsia" w:ascii="微软雅黑" w:hAnsi="微软雅黑" w:eastAsia="微软雅黑"/>
          <w:sz w:val="28"/>
          <w:szCs w:val="28"/>
        </w:rPr>
      </w:pPr>
      <w:r>
        <w:rPr>
          <w:rFonts w:hint="eastAsia" w:ascii="微软雅黑" w:hAnsi="微软雅黑" w:eastAsia="微软雅黑"/>
          <w:b/>
          <w:bCs/>
          <w:sz w:val="28"/>
          <w:szCs w:val="28"/>
        </w:rPr>
        <w:t>医院建筑配套产品与装备技术：</w:t>
      </w:r>
      <w:r>
        <w:rPr>
          <w:rFonts w:hint="eastAsia" w:ascii="微软雅黑" w:hAnsi="微软雅黑" w:eastAsia="微软雅黑"/>
          <w:sz w:val="28"/>
          <w:szCs w:val="28"/>
        </w:rPr>
        <w:t>医用门窗、医院标识、LED 显示系统、医用门、手术室门、医用电梯、应急照明与消防系统、医用呼叫系统；医院安全防护设备、安全监控系统；</w:t>
      </w:r>
    </w:p>
    <w:p w14:paraId="26E8B69D">
      <w:pPr>
        <w:widowControl/>
        <w:numPr>
          <w:ilvl w:val="0"/>
          <w:numId w:val="1"/>
        </w:numPr>
        <w:shd w:val="clear" w:color="auto" w:fill="FFFFFF"/>
        <w:wordWrap w:val="0"/>
        <w:spacing w:line="432" w:lineRule="atLeast"/>
        <w:ind w:left="420" w:leftChars="0" w:hanging="420" w:firstLineChars="0"/>
        <w:jc w:val="left"/>
        <w:rPr>
          <w:rFonts w:hint="eastAsia" w:ascii="微软雅黑" w:hAnsi="微软雅黑" w:eastAsia="微软雅黑"/>
          <w:sz w:val="28"/>
          <w:szCs w:val="28"/>
        </w:rPr>
      </w:pPr>
      <w:r>
        <w:rPr>
          <w:rFonts w:hint="eastAsia" w:ascii="微软雅黑" w:hAnsi="微软雅黑" w:eastAsia="微软雅黑"/>
          <w:b/>
          <w:bCs/>
          <w:sz w:val="28"/>
          <w:szCs w:val="28"/>
        </w:rPr>
        <w:t>医院家具及装备：</w:t>
      </w:r>
      <w:r>
        <w:rPr>
          <w:rFonts w:hint="eastAsia" w:ascii="微软雅黑" w:hAnsi="微软雅黑" w:eastAsia="微软雅黑"/>
          <w:sz w:val="28"/>
          <w:szCs w:val="28"/>
        </w:rPr>
        <w:t>医院家具、器具台、智能床头柜、医院用床、手术台床、移位机等；</w:t>
      </w:r>
    </w:p>
    <w:p w14:paraId="1022055C">
      <w:pPr>
        <w:widowControl/>
        <w:numPr>
          <w:ilvl w:val="0"/>
          <w:numId w:val="1"/>
        </w:numPr>
        <w:shd w:val="clear" w:color="auto" w:fill="FFFFFF"/>
        <w:wordWrap w:val="0"/>
        <w:spacing w:line="432" w:lineRule="atLeast"/>
        <w:ind w:left="420" w:leftChars="0" w:hanging="420" w:firstLineChars="0"/>
        <w:jc w:val="left"/>
        <w:rPr>
          <w:rFonts w:hint="eastAsia" w:ascii="微软雅黑" w:hAnsi="微软雅黑" w:eastAsia="微软雅黑"/>
          <w:sz w:val="28"/>
          <w:szCs w:val="28"/>
        </w:rPr>
      </w:pPr>
      <w:r>
        <w:rPr>
          <w:rFonts w:hint="eastAsia" w:ascii="微软雅黑" w:hAnsi="微软雅黑" w:eastAsia="微软雅黑"/>
          <w:b/>
          <w:bCs/>
          <w:sz w:val="28"/>
          <w:szCs w:val="28"/>
        </w:rPr>
        <w:t>生命支持系统与专业工程：</w:t>
      </w:r>
      <w:r>
        <w:rPr>
          <w:rFonts w:hint="eastAsia" w:ascii="微软雅黑" w:hAnsi="微软雅黑" w:eastAsia="微软雅黑"/>
          <w:sz w:val="28"/>
          <w:szCs w:val="28"/>
        </w:rPr>
        <w:t>手术室净化及配套装备、手术室照明、制氧设备、防护装备、净化消毒设备；</w:t>
      </w:r>
    </w:p>
    <w:p w14:paraId="5D0F6683">
      <w:pPr>
        <w:widowControl/>
        <w:numPr>
          <w:ilvl w:val="0"/>
          <w:numId w:val="1"/>
        </w:numPr>
        <w:shd w:val="clear" w:color="auto" w:fill="FFFFFF"/>
        <w:wordWrap w:val="0"/>
        <w:spacing w:line="432" w:lineRule="atLeast"/>
        <w:ind w:left="420" w:leftChars="0" w:hanging="420" w:firstLineChars="0"/>
        <w:jc w:val="left"/>
        <w:rPr>
          <w:rFonts w:hint="eastAsia" w:ascii="微软雅黑" w:hAnsi="微软雅黑" w:eastAsia="微软雅黑"/>
          <w:sz w:val="28"/>
          <w:szCs w:val="28"/>
        </w:rPr>
      </w:pPr>
      <w:r>
        <w:rPr>
          <w:rFonts w:hint="eastAsia" w:ascii="微软雅黑" w:hAnsi="微软雅黑" w:eastAsia="微软雅黑"/>
          <w:b/>
          <w:bCs/>
          <w:sz w:val="28"/>
          <w:szCs w:val="28"/>
        </w:rPr>
        <w:t>后勤保障系统：</w:t>
      </w:r>
      <w:r>
        <w:rPr>
          <w:rFonts w:hint="eastAsia" w:ascii="微软雅黑" w:hAnsi="微软雅黑" w:eastAsia="微软雅黑"/>
          <w:sz w:val="28"/>
          <w:szCs w:val="28"/>
        </w:rPr>
        <w:t>物业管理、医院垃圾处置设备、内部物流传输设备、停车管理系统设备、医院安全防护设备、安全监控系统, 智能化药房设备、厨房设备、医院供水等</w:t>
      </w:r>
    </w:p>
    <w:p w14:paraId="38F43362">
      <w:pPr>
        <w:widowControl/>
        <w:numPr>
          <w:ilvl w:val="0"/>
          <w:numId w:val="1"/>
        </w:numPr>
        <w:shd w:val="clear" w:color="auto" w:fill="FFFFFF"/>
        <w:wordWrap w:val="0"/>
        <w:spacing w:line="432" w:lineRule="atLeast"/>
        <w:ind w:left="420" w:leftChars="0" w:hanging="420" w:firstLineChars="0"/>
        <w:jc w:val="left"/>
        <w:rPr>
          <w:rFonts w:hint="eastAsia" w:ascii="微软雅黑" w:hAnsi="微软雅黑" w:eastAsia="微软雅黑"/>
          <w:sz w:val="28"/>
          <w:szCs w:val="28"/>
        </w:rPr>
      </w:pPr>
      <w:r>
        <w:rPr>
          <w:rFonts w:hint="eastAsia" w:ascii="微软雅黑" w:hAnsi="微软雅黑" w:eastAsia="微软雅黑"/>
          <w:b/>
          <w:bCs/>
          <w:sz w:val="28"/>
          <w:szCs w:val="28"/>
        </w:rPr>
        <w:t>医疗建筑环境设计：</w:t>
      </w:r>
      <w:r>
        <w:rPr>
          <w:rFonts w:hint="eastAsia" w:ascii="微软雅黑" w:hAnsi="微软雅黑" w:eastAsia="微软雅黑"/>
          <w:sz w:val="28"/>
          <w:szCs w:val="28"/>
        </w:rPr>
        <w:t>概念设计、建筑设计、核心系统工程（手术室等）等整体规划设计方案；医疗健康大数据智能管理、医疗健康产业；医养建筑设备、医养家具设施等。</w:t>
      </w:r>
    </w:p>
    <w:p w14:paraId="271D2042">
      <w:pPr>
        <w:widowControl/>
        <w:numPr>
          <w:ilvl w:val="0"/>
          <w:numId w:val="1"/>
        </w:numPr>
        <w:shd w:val="clear" w:color="auto" w:fill="FFFFFF"/>
        <w:wordWrap w:val="0"/>
        <w:spacing w:line="432" w:lineRule="atLeast"/>
        <w:ind w:left="420" w:leftChars="0" w:hanging="420" w:firstLineChars="0"/>
        <w:jc w:val="left"/>
        <w:rPr>
          <w:rFonts w:hint="eastAsia" w:ascii="微软雅黑" w:hAnsi="微软雅黑" w:eastAsia="微软雅黑"/>
          <w:sz w:val="28"/>
          <w:szCs w:val="28"/>
        </w:rPr>
      </w:pPr>
      <w:r>
        <w:rPr>
          <w:rFonts w:hint="eastAsia" w:ascii="微软雅黑" w:hAnsi="微软雅黑" w:eastAsia="微软雅黑"/>
          <w:b/>
          <w:bCs/>
          <w:sz w:val="28"/>
          <w:szCs w:val="28"/>
        </w:rPr>
        <w:t>医院洁净工程：</w:t>
      </w:r>
      <w:r>
        <w:rPr>
          <w:rFonts w:hint="eastAsia" w:ascii="微软雅黑" w:hAnsi="微软雅黑" w:eastAsia="微软雅黑"/>
          <w:sz w:val="28"/>
          <w:szCs w:val="28"/>
        </w:rPr>
        <w:t>建筑规划设计、医疗核心工程系统、洁净手术室工程、实验室工程、感染控制灭菌消毒工程、中心供应室与ICU病房工程、医用吊塔工程、核医学防护工程、医用气体工程、装配式医疗建筑、物流传输系统工程等。</w:t>
      </w:r>
    </w:p>
    <w:p w14:paraId="3418B3E3">
      <w:pPr>
        <w:widowControl/>
        <w:numPr>
          <w:ilvl w:val="0"/>
          <w:numId w:val="1"/>
        </w:numPr>
        <w:shd w:val="clear" w:color="auto" w:fill="FFFFFF"/>
        <w:wordWrap w:val="0"/>
        <w:spacing w:line="432" w:lineRule="atLeast"/>
        <w:ind w:left="420" w:leftChars="0" w:hanging="420" w:firstLineChars="0"/>
        <w:jc w:val="left"/>
        <w:rPr>
          <w:rFonts w:hint="eastAsia" w:ascii="微软雅黑" w:hAnsi="微软雅黑" w:eastAsia="微软雅黑"/>
          <w:sz w:val="28"/>
          <w:szCs w:val="28"/>
        </w:rPr>
      </w:pPr>
      <w:r>
        <w:rPr>
          <w:rFonts w:hint="eastAsia" w:ascii="微软雅黑" w:hAnsi="微软雅黑" w:eastAsia="微软雅黑"/>
          <w:b/>
          <w:bCs/>
          <w:sz w:val="28"/>
          <w:szCs w:val="28"/>
        </w:rPr>
        <w:t>医用洁净装备材料：</w:t>
      </w:r>
      <w:r>
        <w:rPr>
          <w:rFonts w:hint="eastAsia" w:ascii="微软雅黑" w:hAnsi="微软雅黑" w:eastAsia="微软雅黑"/>
          <w:sz w:val="28"/>
          <w:szCs w:val="28"/>
        </w:rPr>
        <w:t>医用空调与通风工程、空气净化机组、控制机电设备电梯工程、除湿设备、UPS供电、应急照明与消防系统、地坪、PVC地板、医院铺装材料、抗菌涂料、龙骨吊顶、防尘净化材料、消毒用水装备、污水处理装备与水净化系统；</w:t>
      </w:r>
    </w:p>
    <w:p w14:paraId="01CDD065">
      <w:pPr>
        <w:widowControl/>
        <w:numPr>
          <w:ilvl w:val="0"/>
          <w:numId w:val="1"/>
        </w:numPr>
        <w:shd w:val="clear" w:color="auto" w:fill="FFFFFF"/>
        <w:wordWrap w:val="0"/>
        <w:spacing w:line="432" w:lineRule="atLeast"/>
        <w:ind w:left="420" w:leftChars="0" w:hanging="420" w:firstLineChars="0"/>
        <w:jc w:val="left"/>
        <w:rPr>
          <w:rFonts w:hint="default" w:ascii="微软雅黑" w:hAnsi="微软雅黑" w:eastAsia="微软雅黑" w:cs="宋体"/>
          <w:color w:val="333333"/>
          <w:kern w:val="0"/>
          <w:szCs w:val="21"/>
          <w:lang w:val="en-US" w:eastAsia="zh-CN"/>
        </w:rPr>
      </w:pPr>
      <w:r>
        <w:rPr>
          <w:rFonts w:hint="eastAsia" w:ascii="微软雅黑" w:hAnsi="微软雅黑" w:eastAsia="微软雅黑"/>
          <w:b/>
          <w:bCs/>
          <w:sz w:val="28"/>
          <w:szCs w:val="28"/>
        </w:rPr>
        <w:t>医疗设备：</w:t>
      </w:r>
      <w:r>
        <w:rPr>
          <w:rFonts w:hint="eastAsia" w:ascii="微软雅黑" w:hAnsi="微软雅黑" w:eastAsia="微软雅黑"/>
          <w:sz w:val="28"/>
          <w:szCs w:val="28"/>
        </w:rPr>
        <w:t>吊塔、无影灯及家具、卫生洁具、消毒水槽、洗手池、药械柜、安全柜、防护救护系统等。</w:t>
      </w:r>
    </w:p>
    <w:p w14:paraId="07BB0B0F">
      <w:pPr>
        <w:widowControl/>
        <w:numPr>
          <w:ilvl w:val="0"/>
          <w:numId w:val="0"/>
        </w:numPr>
        <w:shd w:val="clear" w:color="auto" w:fill="FFFFFF"/>
        <w:wordWrap w:val="0"/>
        <w:spacing w:line="432" w:lineRule="atLeast"/>
        <w:ind w:leftChars="0"/>
        <w:jc w:val="center"/>
        <w:rPr>
          <w:rFonts w:hint="default" w:ascii="微软雅黑" w:hAnsi="微软雅黑" w:eastAsia="微软雅黑" w:cs="宋体"/>
          <w:color w:val="333333"/>
          <w:kern w:val="0"/>
          <w:szCs w:val="21"/>
          <w:lang w:val="en-US" w:eastAsia="zh-CN"/>
        </w:rPr>
      </w:pPr>
    </w:p>
    <w:sectPr>
      <w:pgSz w:w="11906" w:h="16838"/>
      <w:pgMar w:top="567" w:right="850" w:bottom="567" w:left="85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roman"/>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C7F44F"/>
    <w:multiLevelType w:val="singleLevel"/>
    <w:tmpl w:val="ADC7F44F"/>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IwZTUyNjZlMWNiZTRhYWQ0OWNkYjI5YjM0NGI4NGUifQ=="/>
  </w:docVars>
  <w:rsids>
    <w:rsidRoot w:val="00000000"/>
    <w:rsid w:val="021055BF"/>
    <w:rsid w:val="0227206E"/>
    <w:rsid w:val="0AFD7E90"/>
    <w:rsid w:val="0B365CE9"/>
    <w:rsid w:val="0CCD15FF"/>
    <w:rsid w:val="0E6B438E"/>
    <w:rsid w:val="0F2C7498"/>
    <w:rsid w:val="100B5616"/>
    <w:rsid w:val="10AE1BB2"/>
    <w:rsid w:val="14077076"/>
    <w:rsid w:val="193059E0"/>
    <w:rsid w:val="19BA5A71"/>
    <w:rsid w:val="1B2F1FB1"/>
    <w:rsid w:val="1D85341C"/>
    <w:rsid w:val="217D32FC"/>
    <w:rsid w:val="27C71A1D"/>
    <w:rsid w:val="28535FF8"/>
    <w:rsid w:val="28CE4ED8"/>
    <w:rsid w:val="28FB5354"/>
    <w:rsid w:val="29E752F2"/>
    <w:rsid w:val="29F140EE"/>
    <w:rsid w:val="2B93456C"/>
    <w:rsid w:val="2CCE400E"/>
    <w:rsid w:val="2F950E14"/>
    <w:rsid w:val="421F3775"/>
    <w:rsid w:val="442C5396"/>
    <w:rsid w:val="450135F3"/>
    <w:rsid w:val="45340519"/>
    <w:rsid w:val="497F2993"/>
    <w:rsid w:val="4EA93C5F"/>
    <w:rsid w:val="4FDD3B2F"/>
    <w:rsid w:val="50FC50D3"/>
    <w:rsid w:val="51490072"/>
    <w:rsid w:val="53CA6A5F"/>
    <w:rsid w:val="55A43002"/>
    <w:rsid w:val="55ED61DD"/>
    <w:rsid w:val="56A50D38"/>
    <w:rsid w:val="5C412695"/>
    <w:rsid w:val="5D25799B"/>
    <w:rsid w:val="5D5F32BF"/>
    <w:rsid w:val="5E007B96"/>
    <w:rsid w:val="6145156F"/>
    <w:rsid w:val="62806114"/>
    <w:rsid w:val="64824862"/>
    <w:rsid w:val="683242A3"/>
    <w:rsid w:val="68A41EE3"/>
    <w:rsid w:val="6F433349"/>
    <w:rsid w:val="6FD967A8"/>
    <w:rsid w:val="703F2826"/>
    <w:rsid w:val="74C30200"/>
    <w:rsid w:val="7AB63154"/>
    <w:rsid w:val="7D847ED7"/>
    <w:rsid w:val="7DF31179"/>
    <w:rsid w:val="7E7D49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2"/>
    <w:basedOn w:val="1"/>
    <w:next w:val="1"/>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7">
    <w:name w:val="Default Paragraph Font"/>
    <w:autoRedefine/>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4">
    <w:name w:val="Body Text"/>
    <w:basedOn w:val="1"/>
    <w:semiHidden/>
    <w:qFormat/>
    <w:uiPriority w:val="0"/>
    <w:rPr>
      <w:rFonts w:ascii="微软雅黑" w:hAnsi="微软雅黑" w:eastAsia="微软雅黑" w:cs="微软雅黑"/>
      <w:sz w:val="21"/>
      <w:szCs w:val="21"/>
      <w:lang w:val="en-US" w:eastAsia="en-US" w:bidi="ar-SA"/>
    </w:rPr>
  </w:style>
  <w:style w:type="paragraph" w:styleId="5">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8">
    <w:name w:val="Strong"/>
    <w:basedOn w:val="7"/>
    <w:autoRedefine/>
    <w:qFormat/>
    <w:uiPriority w:val="0"/>
    <w:rPr>
      <w:b/>
    </w:rPr>
  </w:style>
  <w:style w:type="table" w:customStyle="1" w:styleId="9">
    <w:name w:val="Table Normal"/>
    <w:autoRedefine/>
    <w:semiHidden/>
    <w:unhideWhenUsed/>
    <w:qFormat/>
    <w:uiPriority w:val="0"/>
    <w:tblPr>
      <w:tblCellMar>
        <w:top w:w="0" w:type="dxa"/>
        <w:left w:w="0" w:type="dxa"/>
        <w:bottom w:w="0" w:type="dxa"/>
        <w:right w:w="0" w:type="dxa"/>
      </w:tblCellMar>
    </w:tblPr>
  </w:style>
  <w:style w:type="paragraph" w:styleId="10">
    <w:name w:val="List Paragraph"/>
    <w:basedOn w:val="1"/>
    <w:autoRedefine/>
    <w:qFormat/>
    <w:uiPriority w:val="34"/>
    <w:pPr>
      <w:ind w:firstLine="420" w:firstLineChars="200"/>
    </w:pPr>
  </w:style>
  <w:style w:type="character" w:customStyle="1" w:styleId="11">
    <w:name w:val="wdyuqq"/>
    <w:basedOn w:val="7"/>
    <w:autoRedefine/>
    <w:qFormat/>
    <w:uiPriority w:val="0"/>
  </w:style>
  <w:style w:type="paragraph" w:customStyle="1" w:styleId="12">
    <w:name w:val="tgt"/>
    <w:basedOn w:val="1"/>
    <w:autoRedefine/>
    <w:qFormat/>
    <w:uiPriority w:val="0"/>
    <w:pPr>
      <w:spacing w:before="100" w:beforeAutospacing="1" w:after="100" w:afterAutospacing="1"/>
    </w:pPr>
    <w:rPr>
      <w:rFonts w:ascii="宋体" w:hAnsi="宋体" w:eastAsia="宋体" w:cs="宋体"/>
      <w:color w:val="auto"/>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1657</Words>
  <Characters>1781</Characters>
  <Lines>0</Lines>
  <Paragraphs>0</Paragraphs>
  <TotalTime>0</TotalTime>
  <ScaleCrop>false</ScaleCrop>
  <LinksUpToDate>false</LinksUpToDate>
  <CharactersWithSpaces>1826</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2023-09-28T00:45:00Z</dcterms:created>
  <dc:creator>admin</dc:creator>
  <cp:lastModifiedBy>WPS_1699857115</cp:lastModifiedBy>
  <dcterms:modified xsi:type="dcterms:W3CDTF">2024-07-16T01:54:18Z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D587F0D87A854DE6A7F81288F7E8A489_12</vt:lpwstr>
  </property>
</Properties>
</file>