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BA22E">
      <w:pPr>
        <w:jc w:val="center"/>
        <w:rPr>
          <w:rFonts w:ascii="宋体" w:hAnsi="宋体" w:eastAsia="宋体" w:cs="宋体"/>
          <w:sz w:val="24"/>
        </w:rPr>
      </w:pPr>
      <w:r>
        <w:rPr>
          <w:rFonts w:hint="eastAsia" w:ascii="微软雅黑" w:hAnsi="微软雅黑" w:eastAsia="微软雅黑" w:cs="微软雅黑"/>
          <w:b/>
          <w:bCs/>
          <w:kern w:val="0"/>
          <w:sz w:val="56"/>
          <w:szCs w:val="56"/>
        </w:rPr>
        <w:t>2025年肯尼亚贸易周(CTW)</w:t>
      </w:r>
    </w:p>
    <w:p w14:paraId="5DD4CB52">
      <w:pPr>
        <w:jc w:val="center"/>
        <w:rPr>
          <w:rFonts w:ascii="宋体" w:hAnsi="宋体" w:eastAsia="宋体" w:cs="宋体"/>
          <w:sz w:val="24"/>
        </w:rPr>
      </w:pPr>
      <w:r>
        <w:drawing>
          <wp:inline distT="0" distB="0" distL="0" distR="0">
            <wp:extent cx="2071370" cy="602615"/>
            <wp:effectExtent l="0" t="0" r="0" b="5715"/>
            <wp:docPr id="2" name="图片 2" descr="E:\李姗\MIE\招展资料—改后\2024.6\6.25-27 肯尼亚贸易周  (CTW）\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李姗\MIE\招展资料—改后\2024.6\6.25-27 肯尼亚贸易周  (CTW）\图片1.png图片1"/>
                    <pic:cNvPicPr>
                      <a:picLocks noChangeAspect="1"/>
                    </pic:cNvPicPr>
                  </pic:nvPicPr>
                  <pic:blipFill>
                    <a:blip r:embed="rId4"/>
                    <a:srcRect t="11757" b="11757"/>
                    <a:stretch>
                      <a:fillRect/>
                    </a:stretch>
                  </pic:blipFill>
                  <pic:spPr>
                    <a:xfrm>
                      <a:off x="0" y="0"/>
                      <a:ext cx="2071370" cy="602615"/>
                    </a:xfrm>
                    <a:prstGeom prst="rect">
                      <a:avLst/>
                    </a:prstGeom>
                  </pic:spPr>
                </pic:pic>
              </a:graphicData>
            </a:graphic>
          </wp:inline>
        </w:drawing>
      </w:r>
    </w:p>
    <w:p w14:paraId="025CF218">
      <w:pPr>
        <w:jc w:val="left"/>
        <w:rPr>
          <w:rFonts w:ascii="微软雅黑" w:hAnsi="微软雅黑" w:eastAsia="微软雅黑" w:cs="微软雅黑"/>
          <w:b/>
          <w:bCs/>
          <w:sz w:val="40"/>
          <w:szCs w:val="40"/>
        </w:rPr>
      </w:pPr>
      <w:r>
        <w:rPr>
          <w:rFonts w:hint="eastAsia" w:ascii="微软雅黑" w:hAnsi="微软雅黑" w:eastAsia="微软雅黑" w:cs="微软雅黑"/>
          <w:b/>
          <w:bCs/>
          <w:sz w:val="40"/>
          <w:szCs w:val="40"/>
        </w:rPr>
        <w:t>展会介绍</w:t>
      </w:r>
    </w:p>
    <w:p w14:paraId="2A7591E4">
      <w:pPr>
        <w:pStyle w:val="2"/>
        <w:tabs>
          <w:tab w:val="left" w:pos="5460"/>
        </w:tabs>
        <w:jc w:val="left"/>
        <w:rPr>
          <w:b/>
          <w:bCs/>
          <w:color w:val="050E17"/>
          <w:spacing w:val="9"/>
          <w:sz w:val="24"/>
          <w:szCs w:val="24"/>
          <w:lang w:eastAsia="zh-CN"/>
        </w:rPr>
        <w:sectPr>
          <w:pgSz w:w="11906" w:h="16838"/>
          <w:pgMar w:top="1440" w:right="1134" w:bottom="1440" w:left="1134" w:header="851" w:footer="992" w:gutter="0"/>
          <w:cols w:space="425" w:num="1"/>
          <w:docGrid w:type="lines" w:linePitch="312" w:charSpace="0"/>
        </w:sectPr>
      </w:pPr>
    </w:p>
    <w:p w14:paraId="582A81CE">
      <w:pPr>
        <w:pStyle w:val="2"/>
        <w:tabs>
          <w:tab w:val="left" w:pos="5460"/>
        </w:tabs>
        <w:spacing w:line="360" w:lineRule="exact"/>
        <w:jc w:val="left"/>
        <w:rPr>
          <w:b/>
          <w:bCs/>
          <w:color w:val="050E17"/>
          <w:spacing w:val="9"/>
          <w:lang w:eastAsia="zh-CN"/>
        </w:rPr>
      </w:pPr>
      <w:r>
        <w:rPr>
          <w:b/>
          <w:bCs/>
          <w:color w:val="050E17"/>
          <w:spacing w:val="9"/>
          <w:lang w:eastAsia="zh-CN"/>
        </w:rPr>
        <w:t>展会时间</w:t>
      </w:r>
      <w:r>
        <w:rPr>
          <w:rFonts w:hint="eastAsia"/>
          <w:b/>
          <w:bCs/>
          <w:color w:val="050E17"/>
          <w:spacing w:val="9"/>
          <w:lang w:eastAsia="zh-CN"/>
        </w:rPr>
        <w:t>：2025年7月8-10日</w:t>
      </w:r>
    </w:p>
    <w:p w14:paraId="6E63918B">
      <w:pPr>
        <w:pStyle w:val="2"/>
        <w:tabs>
          <w:tab w:val="left" w:pos="5460"/>
        </w:tabs>
        <w:spacing w:line="360" w:lineRule="exact"/>
        <w:jc w:val="left"/>
        <w:rPr>
          <w:b/>
          <w:bCs/>
          <w:color w:val="050E17"/>
          <w:spacing w:val="9"/>
          <w:lang w:eastAsia="zh-CN"/>
        </w:rPr>
      </w:pPr>
      <w:r>
        <w:rPr>
          <w:b/>
          <w:bCs/>
          <w:color w:val="050E17"/>
          <w:spacing w:val="9"/>
          <w:lang w:eastAsia="zh-CN"/>
        </w:rPr>
        <w:t>主办单位</w:t>
      </w:r>
      <w:r>
        <w:rPr>
          <w:rFonts w:hint="eastAsia"/>
          <w:b/>
          <w:bCs/>
          <w:color w:val="050E17"/>
          <w:spacing w:val="9"/>
          <w:lang w:eastAsia="zh-CN"/>
        </w:rPr>
        <w:t>：</w:t>
      </w:r>
      <w:r>
        <w:rPr>
          <w:b/>
          <w:bCs/>
          <w:color w:val="050E17"/>
          <w:spacing w:val="9"/>
          <w:lang w:eastAsia="zh-CN"/>
        </w:rPr>
        <w:t>MIE</w:t>
      </w:r>
      <w:r>
        <w:rPr>
          <w:rFonts w:hint="eastAsia"/>
          <w:b/>
          <w:bCs/>
          <w:color w:val="050E17"/>
          <w:spacing w:val="9"/>
          <w:lang w:eastAsia="zh-CN"/>
        </w:rPr>
        <w:t xml:space="preserve"> </w:t>
      </w:r>
    </w:p>
    <w:p w14:paraId="35617CC1">
      <w:pPr>
        <w:pStyle w:val="2"/>
        <w:tabs>
          <w:tab w:val="left" w:pos="5460"/>
        </w:tabs>
        <w:spacing w:line="360" w:lineRule="exact"/>
        <w:jc w:val="left"/>
        <w:rPr>
          <w:b/>
          <w:bCs/>
          <w:color w:val="050E17"/>
          <w:spacing w:val="9"/>
          <w:lang w:eastAsia="zh-CN"/>
        </w:rPr>
      </w:pPr>
      <w:r>
        <w:rPr>
          <w:rFonts w:hint="eastAsia"/>
          <w:b/>
          <w:bCs/>
          <w:color w:val="050E17"/>
          <w:spacing w:val="9"/>
          <w:lang w:eastAsia="zh-CN"/>
        </w:rPr>
        <w:t xml:space="preserve">展会地点：肯雅塔国际会展中心(KICC)     </w:t>
      </w:r>
    </w:p>
    <w:p w14:paraId="34D8C3E9">
      <w:pPr>
        <w:pStyle w:val="2"/>
        <w:tabs>
          <w:tab w:val="left" w:pos="5460"/>
        </w:tabs>
        <w:spacing w:line="360" w:lineRule="exact"/>
        <w:jc w:val="left"/>
        <w:rPr>
          <w:b/>
          <w:bCs/>
          <w:color w:val="050E17"/>
          <w:spacing w:val="9"/>
          <w:lang w:eastAsia="zh-CN"/>
        </w:rPr>
        <w:sectPr>
          <w:type w:val="continuous"/>
          <w:pgSz w:w="11906" w:h="16838"/>
          <w:pgMar w:top="1440" w:right="1134" w:bottom="1440" w:left="1134" w:header="851" w:footer="992" w:gutter="0"/>
          <w:cols w:equalWidth="0" w:num="2">
            <w:col w:w="5025" w:space="7"/>
            <w:col w:w="4606"/>
          </w:cols>
          <w:docGrid w:type="lines" w:linePitch="312" w:charSpace="0"/>
        </w:sectPr>
      </w:pPr>
      <w:r>
        <w:rPr>
          <w:rFonts w:hint="eastAsia"/>
          <w:b/>
          <w:bCs/>
          <w:color w:val="050E17"/>
          <w:spacing w:val="9"/>
          <w:lang w:eastAsia="zh-CN"/>
        </w:rPr>
        <w:t>举办周期：第十</w:t>
      </w:r>
      <w:r>
        <w:rPr>
          <w:b/>
          <w:bCs/>
          <w:color w:val="050E17"/>
          <w:spacing w:val="9"/>
          <w:lang w:eastAsia="zh-CN"/>
        </w:rPr>
        <w:t>届</w:t>
      </w:r>
    </w:p>
    <w:p w14:paraId="0E1E4368">
      <w:pPr>
        <w:widowControl/>
        <w:kinsoku w:val="0"/>
        <w:autoSpaceDE w:val="0"/>
        <w:autoSpaceDN w:val="0"/>
        <w:adjustRightInd w:val="0"/>
        <w:snapToGrid w:val="0"/>
        <w:spacing w:line="360" w:lineRule="auto"/>
        <w:textAlignment w:val="baseline"/>
        <w:rPr>
          <w:rFonts w:ascii="微软雅黑" w:hAnsi="微软雅黑" w:eastAsia="微软雅黑"/>
          <w:sz w:val="24"/>
        </w:rPr>
      </w:pPr>
    </w:p>
    <w:p w14:paraId="123D70FB">
      <w:pPr>
        <w:widowControl/>
        <w:kinsoku w:val="0"/>
        <w:autoSpaceDE w:val="0"/>
        <w:autoSpaceDN w:val="0"/>
        <w:adjustRightInd w:val="0"/>
        <w:snapToGrid w:val="0"/>
        <w:spacing w:line="360" w:lineRule="auto"/>
        <w:textAlignment w:val="baseline"/>
        <w:rPr>
          <w:rFonts w:ascii="微软雅黑" w:hAnsi="微软雅黑" w:eastAsia="微软雅黑"/>
          <w:sz w:val="24"/>
        </w:rPr>
      </w:pPr>
      <w:r>
        <w:rPr>
          <w:rFonts w:ascii="微软雅黑" w:hAnsi="微软雅黑" w:eastAsia="微软雅黑"/>
          <w:sz w:val="24"/>
        </w:rPr>
        <w:drawing>
          <wp:inline distT="0" distB="0" distL="0" distR="0">
            <wp:extent cx="6065520" cy="22860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cstate="print">
                      <a:extLst>
                        <a:ext uri="{28A0092B-C50C-407E-A947-70E740481C1C}">
                          <a14:useLocalDpi xmlns:a14="http://schemas.microsoft.com/office/drawing/2010/main" val="0"/>
                        </a:ext>
                      </a:extLst>
                    </a:blip>
                    <a:srcRect l="-314" t="11121" r="308" b="32334"/>
                    <a:stretch>
                      <a:fillRect/>
                    </a:stretch>
                  </pic:blipFill>
                  <pic:spPr>
                    <a:xfrm>
                      <a:off x="0" y="0"/>
                      <a:ext cx="6085584" cy="2293322"/>
                    </a:xfrm>
                    <a:prstGeom prst="rect">
                      <a:avLst/>
                    </a:prstGeom>
                    <a:ln>
                      <a:noFill/>
                    </a:ln>
                  </pic:spPr>
                </pic:pic>
              </a:graphicData>
            </a:graphic>
          </wp:inline>
        </w:drawing>
      </w:r>
    </w:p>
    <w:p w14:paraId="67E320FB">
      <w:pPr>
        <w:widowControl/>
        <w:kinsoku w:val="0"/>
        <w:autoSpaceDE w:val="0"/>
        <w:autoSpaceDN w:val="0"/>
        <w:adjustRightInd w:val="0"/>
        <w:snapToGrid w:val="0"/>
        <w:spacing w:line="360" w:lineRule="exact"/>
        <w:ind w:firstLine="420" w:firstLineChars="200"/>
        <w:textAlignment w:val="baseline"/>
        <w:rPr>
          <w:rFonts w:ascii="微软雅黑" w:hAnsi="微软雅黑" w:eastAsia="微软雅黑"/>
          <w:szCs w:val="21"/>
        </w:rPr>
      </w:pPr>
      <w:r>
        <w:rPr>
          <w:rFonts w:hint="eastAsia" w:ascii="微软雅黑" w:hAnsi="微软雅黑" w:eastAsia="微软雅黑"/>
          <w:szCs w:val="21"/>
        </w:rPr>
        <w:t>“肯尼亚贸易周</w:t>
      </w:r>
      <w:r>
        <w:rPr>
          <w:rFonts w:ascii="微软雅黑" w:hAnsi="微软雅黑" w:eastAsia="微软雅黑"/>
          <w:szCs w:val="21"/>
        </w:rPr>
        <w:t>CTW KENYA</w:t>
      </w:r>
      <w:r>
        <w:rPr>
          <w:rFonts w:hint="eastAsia" w:ascii="微软雅黑" w:hAnsi="微软雅黑" w:eastAsia="微软雅黑"/>
          <w:szCs w:val="21"/>
        </w:rPr>
        <w:t>”是由中国国际商会倡议和指导，MIE EVENTS DMCC在肯尼亚举办的以“优质中国商品”为主题的展览会、研讨会和文化交流会。自2015年起，已连续在肯尼亚成功举办九届，在当地采购商、华人企业以及媒体之间具有较大影响力，是第一个通过国际展览联盟UFI认证的展会，成为中国企业走进中东非市场的知名品牌。另外，肯尼亚CTW是东非规模最大、影响最广的展会，被誉为“非洲的广交会”。在当地采购商、华人企业及媒体之间具有较大的影响力，是中国企业走进中东非市场的知名展会品牌。</w:t>
      </w:r>
    </w:p>
    <w:p w14:paraId="23B2F9BD">
      <w:pPr>
        <w:widowControl/>
        <w:kinsoku w:val="0"/>
        <w:autoSpaceDE w:val="0"/>
        <w:autoSpaceDN w:val="0"/>
        <w:adjustRightInd w:val="0"/>
        <w:snapToGrid w:val="0"/>
        <w:spacing w:line="360" w:lineRule="exact"/>
        <w:ind w:firstLine="420" w:firstLineChars="200"/>
        <w:textAlignment w:val="baseline"/>
        <w:rPr>
          <w:rFonts w:ascii="微软雅黑" w:hAnsi="微软雅黑" w:eastAsia="微软雅黑"/>
          <w:szCs w:val="21"/>
        </w:rPr>
      </w:pPr>
      <w:r>
        <w:rPr>
          <w:rFonts w:hint="eastAsia" w:ascii="微软雅黑" w:hAnsi="微软雅黑" w:eastAsia="微软雅黑"/>
          <w:szCs w:val="21"/>
        </w:rPr>
        <w:t>2024年第九届肯尼亚贸易周于</w:t>
      </w:r>
      <w:r>
        <w:rPr>
          <w:rFonts w:ascii="微软雅黑" w:hAnsi="微软雅黑" w:eastAsia="微软雅黑"/>
          <w:szCs w:val="21"/>
        </w:rPr>
        <w:t>10</w:t>
      </w:r>
      <w:r>
        <w:rPr>
          <w:rFonts w:hint="eastAsia" w:ascii="微软雅黑" w:hAnsi="微软雅黑" w:eastAsia="微软雅黑"/>
          <w:szCs w:val="21"/>
        </w:rPr>
        <w:t>月0</w:t>
      </w:r>
      <w:r>
        <w:rPr>
          <w:rFonts w:ascii="微软雅黑" w:hAnsi="微软雅黑" w:eastAsia="微软雅黑"/>
          <w:szCs w:val="21"/>
        </w:rPr>
        <w:t>2</w:t>
      </w:r>
      <w:r>
        <w:rPr>
          <w:rFonts w:hint="eastAsia" w:ascii="微软雅黑" w:hAnsi="微软雅黑" w:eastAsia="微软雅黑"/>
          <w:szCs w:val="21"/>
        </w:rPr>
        <w:t>-</w:t>
      </w:r>
      <w:r>
        <w:rPr>
          <w:rFonts w:ascii="微软雅黑" w:hAnsi="微软雅黑" w:eastAsia="微软雅黑"/>
          <w:szCs w:val="21"/>
        </w:rPr>
        <w:t>04</w:t>
      </w:r>
      <w:r>
        <w:rPr>
          <w:rFonts w:hint="eastAsia" w:ascii="微软雅黑" w:hAnsi="微软雅黑" w:eastAsia="微软雅黑"/>
          <w:szCs w:val="21"/>
        </w:rPr>
        <w:t>日在肯尼亚EDGE会议中心举办，吸引来自全球20多个国家的300余家展商参展，展出面积达15,000平方米，展会同期还请到行业领导进行多场演讲，方便企业了解最新行业趋势并在探讨交流中促成合作。众多参展商已经明确表示，下次展会他们一定还会积极参与，继续在这里展示他们的创新成果，与行业同仁共同推动行业的蓬勃发展。</w:t>
      </w:r>
    </w:p>
    <w:p w14:paraId="79A872AC">
      <w:pPr>
        <w:widowControl/>
        <w:kinsoku w:val="0"/>
        <w:autoSpaceDE w:val="0"/>
        <w:autoSpaceDN w:val="0"/>
        <w:adjustRightInd w:val="0"/>
        <w:snapToGrid w:val="0"/>
        <w:spacing w:line="360" w:lineRule="exact"/>
        <w:ind w:firstLine="420" w:firstLineChars="200"/>
        <w:textAlignment w:val="baseline"/>
        <w:rPr>
          <w:rFonts w:ascii="微软雅黑" w:hAnsi="微软雅黑" w:eastAsia="微软雅黑"/>
          <w:szCs w:val="21"/>
        </w:rPr>
      </w:pPr>
      <w:r>
        <w:rPr>
          <w:rFonts w:hint="eastAsia" w:ascii="微软雅黑" w:hAnsi="微软雅黑" w:eastAsia="微软雅黑"/>
          <w:szCs w:val="21"/>
        </w:rPr>
        <w:t>2025年</w:t>
      </w:r>
      <w:r>
        <w:rPr>
          <w:rFonts w:ascii="微软雅黑" w:hAnsi="微软雅黑" w:eastAsia="微软雅黑"/>
          <w:szCs w:val="21"/>
        </w:rPr>
        <w:t>第十届肯尼亚贸易周将于7</w:t>
      </w:r>
      <w:r>
        <w:rPr>
          <w:rFonts w:hint="eastAsia" w:ascii="微软雅黑" w:hAnsi="微软雅黑" w:eastAsia="微软雅黑"/>
          <w:szCs w:val="21"/>
        </w:rPr>
        <w:t>月</w:t>
      </w:r>
      <w:r>
        <w:rPr>
          <w:rFonts w:hint="eastAsia" w:ascii="微软雅黑" w:hAnsi="微软雅黑" w:eastAsia="微软雅黑"/>
          <w:szCs w:val="21"/>
          <w:lang w:val="en-US" w:eastAsia="zh-CN"/>
        </w:rPr>
        <w:t>8-10日</w:t>
      </w:r>
      <w:bookmarkStart w:id="0" w:name="_GoBack"/>
      <w:bookmarkEnd w:id="0"/>
      <w:r>
        <w:rPr>
          <w:rFonts w:hint="eastAsia" w:ascii="微软雅黑" w:hAnsi="微软雅黑" w:eastAsia="微软雅黑"/>
          <w:szCs w:val="21"/>
        </w:rPr>
        <w:t>在肯雅塔国际会展中心(KICC)</w:t>
      </w:r>
      <w:r>
        <w:rPr>
          <w:rFonts w:ascii="微软雅黑" w:hAnsi="微软雅黑" w:eastAsia="微软雅黑"/>
          <w:szCs w:val="21"/>
        </w:rPr>
        <w:t>举办，</w:t>
      </w:r>
      <w:r>
        <w:rPr>
          <w:rFonts w:hint="eastAsia" w:ascii="微软雅黑" w:hAnsi="微软雅黑" w:eastAsia="微软雅黑"/>
          <w:szCs w:val="21"/>
        </w:rPr>
        <w:t>随着行业的不断发展，更多的企业意识到肯尼亚</w:t>
      </w:r>
      <w:r>
        <w:rPr>
          <w:rFonts w:ascii="微软雅黑" w:hAnsi="微软雅黑" w:eastAsia="微软雅黑"/>
          <w:szCs w:val="21"/>
        </w:rPr>
        <w:t>市场</w:t>
      </w:r>
      <w:r>
        <w:rPr>
          <w:rFonts w:hint="eastAsia" w:ascii="微软雅黑" w:hAnsi="微软雅黑" w:eastAsia="微软雅黑"/>
          <w:szCs w:val="21"/>
        </w:rPr>
        <w:t>的重要性，展会将吸引</w:t>
      </w:r>
      <w:r>
        <w:rPr>
          <w:rFonts w:ascii="微软雅黑" w:hAnsi="微软雅黑" w:eastAsia="微软雅黑"/>
          <w:szCs w:val="21"/>
        </w:rPr>
        <w:t>更多</w:t>
      </w:r>
      <w:r>
        <w:rPr>
          <w:rFonts w:hint="eastAsia" w:ascii="微软雅黑" w:hAnsi="微软雅黑" w:eastAsia="微软雅黑"/>
          <w:szCs w:val="21"/>
        </w:rPr>
        <w:t>行业内的领军企业、创新型企业或具有独特竞争力的企业，预计</w:t>
      </w:r>
      <w:r>
        <w:rPr>
          <w:rFonts w:ascii="微软雅黑" w:hAnsi="微软雅黑" w:eastAsia="微软雅黑"/>
          <w:szCs w:val="21"/>
        </w:rPr>
        <w:t>会有</w:t>
      </w:r>
      <w:r>
        <w:rPr>
          <w:rFonts w:hint="eastAsia" w:ascii="微软雅黑" w:hAnsi="微软雅黑" w:eastAsia="微软雅黑"/>
          <w:szCs w:val="21"/>
        </w:rPr>
        <w:t>来自全球行业</w:t>
      </w:r>
      <w:r>
        <w:rPr>
          <w:rFonts w:ascii="微软雅黑" w:hAnsi="微软雅黑" w:eastAsia="微软雅黑"/>
          <w:szCs w:val="21"/>
        </w:rPr>
        <w:t>的560</w:t>
      </w:r>
      <w:r>
        <w:rPr>
          <w:rFonts w:hint="eastAsia" w:ascii="微软雅黑" w:hAnsi="微软雅黑" w:eastAsia="微软雅黑"/>
          <w:szCs w:val="21"/>
        </w:rPr>
        <w:t>多家</w:t>
      </w:r>
      <w:r>
        <w:rPr>
          <w:rFonts w:ascii="微软雅黑" w:hAnsi="微软雅黑" w:eastAsia="微软雅黑"/>
          <w:szCs w:val="21"/>
        </w:rPr>
        <w:t>展商一起亮相</w:t>
      </w:r>
      <w:r>
        <w:rPr>
          <w:rFonts w:hint="eastAsia" w:ascii="微软雅黑" w:hAnsi="微软雅黑" w:eastAsia="微软雅黑"/>
          <w:szCs w:val="21"/>
        </w:rPr>
        <w:t>第十届</w:t>
      </w:r>
      <w:r>
        <w:rPr>
          <w:rFonts w:ascii="微软雅黑" w:hAnsi="微软雅黑" w:eastAsia="微软雅黑"/>
          <w:szCs w:val="21"/>
        </w:rPr>
        <w:t>肯尼亚贸易周。</w:t>
      </w:r>
    </w:p>
    <w:tbl>
      <w:tblPr>
        <w:tblStyle w:val="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387"/>
        <w:gridCol w:w="2420"/>
        <w:gridCol w:w="2414"/>
        <w:gridCol w:w="2427"/>
      </w:tblGrid>
      <w:tr w14:paraId="0A4EC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1" w:hRule="atLeast"/>
          <w:jc w:val="center"/>
        </w:trPr>
        <w:tc>
          <w:tcPr>
            <w:tcW w:w="1237" w:type="pct"/>
            <w:shd w:val="clear" w:color="auto" w:fill="4069DD"/>
            <w:vAlign w:val="center"/>
          </w:tcPr>
          <w:p w14:paraId="0844ED1F">
            <w:pPr>
              <w:spacing w:before="211" w:line="190" w:lineRule="auto"/>
              <w:ind w:left="685"/>
              <w:rPr>
                <w:rFonts w:ascii="微软雅黑" w:hAnsi="微软雅黑" w:eastAsia="微软雅黑" w:cs="微软雅黑"/>
                <w:szCs w:val="21"/>
              </w:rPr>
            </w:pPr>
            <w:r>
              <w:rPr>
                <w:rFonts w:ascii="微软雅黑" w:hAnsi="微软雅黑" w:eastAsia="微软雅黑" w:cs="微软雅黑"/>
                <w:color w:val="FFFFFF"/>
                <w:spacing w:val="3"/>
                <w:szCs w:val="21"/>
              </w:rPr>
              <w:t>国际展商</w:t>
            </w:r>
          </w:p>
        </w:tc>
        <w:tc>
          <w:tcPr>
            <w:tcW w:w="1254" w:type="pct"/>
            <w:shd w:val="clear" w:color="auto" w:fill="4069DD"/>
            <w:vAlign w:val="center"/>
          </w:tcPr>
          <w:p w14:paraId="55A46D44">
            <w:pPr>
              <w:spacing w:before="210" w:line="189" w:lineRule="auto"/>
              <w:ind w:left="681"/>
              <w:rPr>
                <w:rFonts w:ascii="微软雅黑" w:hAnsi="微软雅黑" w:eastAsia="微软雅黑" w:cs="微软雅黑"/>
                <w:szCs w:val="21"/>
              </w:rPr>
            </w:pPr>
            <w:r>
              <w:rPr>
                <w:rFonts w:ascii="微软雅黑" w:hAnsi="微软雅黑" w:eastAsia="微软雅黑" w:cs="微软雅黑"/>
                <w:color w:val="FFFFFF"/>
                <w:spacing w:val="6"/>
                <w:szCs w:val="21"/>
              </w:rPr>
              <w:t>参展人数</w:t>
            </w:r>
          </w:p>
        </w:tc>
        <w:tc>
          <w:tcPr>
            <w:tcW w:w="1251" w:type="pct"/>
            <w:shd w:val="clear" w:color="auto" w:fill="4069DD"/>
            <w:vAlign w:val="center"/>
          </w:tcPr>
          <w:p w14:paraId="2C85A754">
            <w:pPr>
              <w:spacing w:before="210" w:line="191" w:lineRule="auto"/>
              <w:ind w:left="678"/>
              <w:rPr>
                <w:rFonts w:ascii="微软雅黑" w:hAnsi="微软雅黑" w:eastAsia="微软雅黑" w:cs="微软雅黑"/>
                <w:szCs w:val="21"/>
              </w:rPr>
            </w:pPr>
            <w:r>
              <w:rPr>
                <w:rFonts w:ascii="微软雅黑" w:hAnsi="微软雅黑" w:eastAsia="微软雅黑" w:cs="微软雅黑"/>
                <w:color w:val="FFFFFF"/>
                <w:spacing w:val="6"/>
                <w:szCs w:val="21"/>
              </w:rPr>
              <w:t>辐射国家</w:t>
            </w:r>
          </w:p>
        </w:tc>
        <w:tc>
          <w:tcPr>
            <w:tcW w:w="1258" w:type="pct"/>
            <w:shd w:val="clear" w:color="auto" w:fill="4069DD"/>
            <w:vAlign w:val="center"/>
          </w:tcPr>
          <w:p w14:paraId="41668ECD">
            <w:pPr>
              <w:spacing w:before="211" w:line="189" w:lineRule="auto"/>
              <w:ind w:left="679"/>
              <w:rPr>
                <w:rFonts w:ascii="微软雅黑" w:hAnsi="微软雅黑" w:eastAsia="微软雅黑" w:cs="微软雅黑"/>
                <w:szCs w:val="21"/>
              </w:rPr>
            </w:pPr>
            <w:r>
              <w:rPr>
                <w:rFonts w:hint="eastAsia" w:ascii="微软雅黑" w:hAnsi="微软雅黑" w:eastAsia="微软雅黑" w:cs="微软雅黑"/>
                <w:color w:val="FFFFFF"/>
                <w:spacing w:val="7"/>
                <w:szCs w:val="21"/>
              </w:rPr>
              <w:t>B</w:t>
            </w:r>
            <w:r>
              <w:rPr>
                <w:rFonts w:ascii="微软雅黑" w:hAnsi="微软雅黑" w:eastAsia="微软雅黑" w:cs="微软雅黑"/>
                <w:color w:val="FFFFFF"/>
                <w:spacing w:val="7"/>
                <w:szCs w:val="21"/>
              </w:rPr>
              <w:t>2B</w:t>
            </w:r>
            <w:r>
              <w:rPr>
                <w:rFonts w:hint="eastAsia" w:ascii="微软雅黑" w:hAnsi="微软雅黑" w:eastAsia="微软雅黑" w:cs="微软雅黑"/>
                <w:color w:val="FFFFFF"/>
                <w:spacing w:val="7"/>
                <w:szCs w:val="21"/>
              </w:rPr>
              <w:t>会议</w:t>
            </w:r>
          </w:p>
        </w:tc>
      </w:tr>
      <w:tr w14:paraId="4C7BA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 w:hRule="atLeast"/>
          <w:jc w:val="center"/>
        </w:trPr>
        <w:tc>
          <w:tcPr>
            <w:tcW w:w="1237" w:type="pct"/>
            <w:vAlign w:val="center"/>
          </w:tcPr>
          <w:p w14:paraId="2B974AB0">
            <w:pPr>
              <w:spacing w:before="227" w:line="214" w:lineRule="auto"/>
              <w:ind w:left="826"/>
              <w:rPr>
                <w:rFonts w:ascii="微软雅黑" w:hAnsi="微软雅黑" w:eastAsia="微软雅黑" w:cs="微软雅黑"/>
                <w:szCs w:val="21"/>
              </w:rPr>
            </w:pPr>
            <w:r>
              <w:rPr>
                <w:rFonts w:ascii="微软雅黑" w:hAnsi="微软雅黑" w:eastAsia="微软雅黑" w:cs="微软雅黑"/>
                <w:spacing w:val="-8"/>
                <w:szCs w:val="21"/>
              </w:rPr>
              <w:t>560+</w:t>
            </w:r>
          </w:p>
        </w:tc>
        <w:tc>
          <w:tcPr>
            <w:tcW w:w="1254" w:type="pct"/>
            <w:vAlign w:val="center"/>
          </w:tcPr>
          <w:p w14:paraId="636982E9">
            <w:pPr>
              <w:spacing w:before="225" w:line="197" w:lineRule="auto"/>
              <w:jc w:val="center"/>
              <w:rPr>
                <w:rFonts w:ascii="微软雅黑" w:hAnsi="微软雅黑" w:eastAsia="微软雅黑" w:cs="微软雅黑"/>
                <w:szCs w:val="21"/>
              </w:rPr>
            </w:pPr>
            <w:r>
              <w:rPr>
                <w:rFonts w:ascii="微软雅黑" w:hAnsi="微软雅黑" w:eastAsia="微软雅黑" w:cs="微软雅黑"/>
                <w:spacing w:val="-3"/>
                <w:szCs w:val="21"/>
              </w:rPr>
              <w:t>2</w:t>
            </w:r>
            <w:r>
              <w:rPr>
                <w:rFonts w:hint="eastAsia" w:ascii="微软雅黑" w:hAnsi="微软雅黑" w:eastAsia="微软雅黑" w:cs="微软雅黑"/>
                <w:spacing w:val="-3"/>
                <w:szCs w:val="21"/>
              </w:rPr>
              <w:t>,</w:t>
            </w:r>
            <w:r>
              <w:rPr>
                <w:rFonts w:ascii="微软雅黑" w:hAnsi="微软雅黑" w:eastAsia="微软雅黑" w:cs="微软雅黑"/>
                <w:spacing w:val="-3"/>
                <w:szCs w:val="21"/>
              </w:rPr>
              <w:t>70</w:t>
            </w:r>
            <w:r>
              <w:rPr>
                <w:rFonts w:hint="eastAsia" w:ascii="微软雅黑" w:hAnsi="微软雅黑" w:eastAsia="微软雅黑" w:cs="微软雅黑"/>
                <w:spacing w:val="-3"/>
                <w:szCs w:val="21"/>
              </w:rPr>
              <w:t>0</w:t>
            </w:r>
            <w:r>
              <w:rPr>
                <w:rFonts w:ascii="微软雅黑" w:hAnsi="微软雅黑" w:eastAsia="微软雅黑" w:cs="微软雅黑"/>
                <w:spacing w:val="-3"/>
                <w:szCs w:val="21"/>
              </w:rPr>
              <w:t>+</w:t>
            </w:r>
          </w:p>
        </w:tc>
        <w:tc>
          <w:tcPr>
            <w:tcW w:w="1251" w:type="pct"/>
            <w:vAlign w:val="center"/>
          </w:tcPr>
          <w:p w14:paraId="658D6A85">
            <w:pPr>
              <w:spacing w:before="227" w:line="214" w:lineRule="auto"/>
              <w:ind w:left="933"/>
              <w:rPr>
                <w:rFonts w:ascii="微软雅黑" w:hAnsi="微软雅黑" w:eastAsia="微软雅黑" w:cs="微软雅黑"/>
                <w:szCs w:val="21"/>
              </w:rPr>
            </w:pPr>
            <w:r>
              <w:rPr>
                <w:rFonts w:ascii="微软雅黑" w:hAnsi="微软雅黑" w:eastAsia="微软雅黑" w:cs="微软雅黑"/>
                <w:spacing w:val="-10"/>
                <w:szCs w:val="21"/>
              </w:rPr>
              <w:t>12+</w:t>
            </w:r>
          </w:p>
        </w:tc>
        <w:tc>
          <w:tcPr>
            <w:tcW w:w="1258" w:type="pct"/>
            <w:vAlign w:val="center"/>
          </w:tcPr>
          <w:p w14:paraId="3F3C0046">
            <w:pPr>
              <w:spacing w:before="225" w:line="197" w:lineRule="auto"/>
              <w:jc w:val="center"/>
              <w:rPr>
                <w:rFonts w:ascii="微软雅黑" w:hAnsi="微软雅黑" w:eastAsia="微软雅黑" w:cs="微软雅黑"/>
                <w:szCs w:val="21"/>
              </w:rPr>
            </w:pPr>
            <w:r>
              <w:rPr>
                <w:rFonts w:hint="eastAsia" w:ascii="微软雅黑" w:hAnsi="微软雅黑" w:eastAsia="微软雅黑" w:cs="微软雅黑"/>
                <w:spacing w:val="-3"/>
                <w:szCs w:val="21"/>
              </w:rPr>
              <w:t>1</w:t>
            </w:r>
            <w:r>
              <w:rPr>
                <w:rFonts w:ascii="微软雅黑" w:hAnsi="微软雅黑" w:eastAsia="微软雅黑" w:cs="微软雅黑"/>
                <w:spacing w:val="-3"/>
                <w:szCs w:val="21"/>
              </w:rPr>
              <w:t>,000+</w:t>
            </w:r>
          </w:p>
        </w:tc>
      </w:tr>
    </w:tbl>
    <w:p w14:paraId="682E2663">
      <w:pPr>
        <w:widowControl/>
        <w:kinsoku w:val="0"/>
        <w:autoSpaceDE w:val="0"/>
        <w:autoSpaceDN w:val="0"/>
        <w:adjustRightInd w:val="0"/>
        <w:snapToGrid w:val="0"/>
        <w:spacing w:line="360" w:lineRule="auto"/>
        <w:textAlignment w:val="baseline"/>
        <w:rPr>
          <w:rFonts w:ascii="微软雅黑" w:hAnsi="微软雅黑" w:eastAsia="微软雅黑"/>
          <w:sz w:val="24"/>
        </w:rPr>
      </w:pPr>
    </w:p>
    <w:p w14:paraId="52473167">
      <w:pPr>
        <w:widowControl/>
        <w:kinsoku w:val="0"/>
        <w:autoSpaceDE w:val="0"/>
        <w:autoSpaceDN w:val="0"/>
        <w:adjustRightInd w:val="0"/>
        <w:spacing w:line="360" w:lineRule="auto"/>
        <w:textAlignment w:val="baseline"/>
        <w:rPr>
          <w:rFonts w:ascii="宋体" w:hAnsi="宋体" w:eastAsia="宋体" w:cs="宋体"/>
          <w:szCs w:val="21"/>
        </w:rPr>
      </w:pPr>
      <w:r>
        <w:rPr>
          <w:rFonts w:hint="eastAsia" w:ascii="微软雅黑" w:hAnsi="微软雅黑" w:eastAsia="微软雅黑" w:cs="微软雅黑"/>
          <w:b/>
          <w:bCs/>
          <w:sz w:val="40"/>
          <w:szCs w:val="40"/>
        </w:rPr>
        <w:t>市场机遇</w:t>
      </w:r>
    </w:p>
    <w:p w14:paraId="1DB4BEFA">
      <w:pPr>
        <w:widowControl/>
        <w:kinsoku w:val="0"/>
        <w:autoSpaceDE w:val="0"/>
        <w:autoSpaceDN w:val="0"/>
        <w:adjustRightInd w:val="0"/>
        <w:spacing w:line="360" w:lineRule="auto"/>
        <w:jc w:val="center"/>
        <w:textAlignment w:val="baseline"/>
        <w:rPr>
          <w:rFonts w:ascii="微软雅黑" w:hAnsi="微软雅黑" w:eastAsia="微软雅黑" w:cs="微软雅黑"/>
          <w:b/>
          <w:bCs/>
          <w:sz w:val="40"/>
          <w:szCs w:val="40"/>
        </w:rPr>
      </w:pPr>
      <w:r>
        <w:rPr>
          <w:rFonts w:ascii="宋体" w:hAnsi="宋体" w:eastAsia="宋体" w:cs="宋体"/>
          <w:szCs w:val="21"/>
        </w:rPr>
        <w:drawing>
          <wp:inline distT="0" distB="0" distL="0" distR="0">
            <wp:extent cx="5953760" cy="2447290"/>
            <wp:effectExtent l="0" t="0" r="0" b="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6">
                      <a:extLst>
                        <a:ext uri="{28A0092B-C50C-407E-A947-70E740481C1C}">
                          <a14:useLocalDpi xmlns:a14="http://schemas.microsoft.com/office/drawing/2010/main" val="0"/>
                        </a:ext>
                      </a:extLst>
                    </a:blip>
                    <a:srcRect t="11973" b="25734"/>
                    <a:stretch>
                      <a:fillRect/>
                    </a:stretch>
                  </pic:blipFill>
                  <pic:spPr>
                    <a:xfrm>
                      <a:off x="0" y="0"/>
                      <a:ext cx="5983962" cy="2460157"/>
                    </a:xfrm>
                    <a:prstGeom prst="rect">
                      <a:avLst/>
                    </a:prstGeom>
                    <a:noFill/>
                    <a:ln>
                      <a:noFill/>
                    </a:ln>
                  </pic:spPr>
                </pic:pic>
              </a:graphicData>
            </a:graphic>
          </wp:inline>
        </w:drawing>
      </w:r>
    </w:p>
    <w:p w14:paraId="50D7996E">
      <w:pPr>
        <w:widowControl/>
        <w:kinsoku w:val="0"/>
        <w:autoSpaceDE w:val="0"/>
        <w:autoSpaceDN w:val="0"/>
        <w:adjustRightInd w:val="0"/>
        <w:spacing w:line="360" w:lineRule="exact"/>
        <w:ind w:firstLine="420" w:firstLineChars="200"/>
        <w:textAlignment w:val="baseline"/>
        <w:rPr>
          <w:rFonts w:ascii="微软雅黑" w:hAnsi="微软雅黑" w:eastAsia="微软雅黑"/>
          <w:szCs w:val="21"/>
        </w:rPr>
      </w:pPr>
      <w:r>
        <w:rPr>
          <w:rFonts w:hint="eastAsia" w:ascii="微软雅黑" w:hAnsi="微软雅黑" w:eastAsia="微软雅黑"/>
          <w:szCs w:val="21"/>
        </w:rPr>
        <w:t>肯尼亚是近年全球增长最快的经济体之一。该国是区内多个贸易共同体的成员，加上沿海城市蒙巴萨地理位置优越，因此常被称为东非主要的经济和商业枢纽。肯尼亚以服务业为主要增长动力，运输基础设施有所改善，便利营商的改革措施也持续推行，有助巩固引人注目的经济发展，并为企业和投资者提供大量机遇。</w:t>
      </w:r>
    </w:p>
    <w:p w14:paraId="38D9C5D0">
      <w:pPr>
        <w:kinsoku w:val="0"/>
        <w:autoSpaceDE w:val="0"/>
        <w:autoSpaceDN w:val="0"/>
        <w:adjustRightInd w:val="0"/>
        <w:spacing w:line="360" w:lineRule="exact"/>
        <w:ind w:firstLine="420" w:firstLineChars="200"/>
        <w:textAlignment w:val="baseline"/>
        <w:rPr>
          <w:rFonts w:ascii="微软雅黑" w:hAnsi="微软雅黑" w:eastAsia="微软雅黑"/>
          <w:szCs w:val="21"/>
        </w:rPr>
      </w:pPr>
      <w:r>
        <w:rPr>
          <w:rFonts w:hint="eastAsia" w:ascii="微软雅黑" w:hAnsi="微软雅黑" w:eastAsia="微软雅黑"/>
          <w:szCs w:val="21"/>
        </w:rPr>
        <w:t>肯尼亚政府重视基础设施建设，在 “愿景 2030” 计划中，将能源、基础设施和建筑业列为重点发展领域，计划在未来对道路、铁路、海港和机场设施进行重大改善。这些大型基础设施项目的建设需要大量的建材，进一步刺激了市场需求。肯尼亚城市化发展迅速，大量人口从农村涌入城市，对住房、商业和办公空间的需求急剧增加。这使得建筑材料以及与之相关的家具产品需求旺盛，为建材家具市场提供了广阔的发展空间。肯尼亚工业基础相对薄弱，建材家具企业的生产能力有限，产品质量也相对较低，难以满足市场对建材家居产品的需求。因此，肯尼亚大部分建材家具产品依赖进口。肯尼亚还面临着较大的住房缺口，每年的住房赤字约为 25 万套。政府致力于解决住房问题，推出了一系列的住房建设计划和战略，如投放价格低至 50 万先令的住房，这也带动了建材家居市场的发展。</w:t>
      </w:r>
    </w:p>
    <w:p w14:paraId="0D5A9E6E">
      <w:pPr>
        <w:kinsoku w:val="0"/>
        <w:autoSpaceDE w:val="0"/>
        <w:autoSpaceDN w:val="0"/>
        <w:adjustRightInd w:val="0"/>
        <w:spacing w:line="360" w:lineRule="exact"/>
        <w:ind w:firstLine="420" w:firstLineChars="200"/>
        <w:textAlignment w:val="baseline"/>
        <w:rPr>
          <w:rFonts w:ascii="微软雅黑" w:hAnsi="微软雅黑" w:eastAsia="微软雅黑"/>
          <w:szCs w:val="21"/>
        </w:rPr>
      </w:pPr>
      <w:r>
        <w:rPr>
          <w:rFonts w:hint="eastAsia" w:ascii="微软雅黑" w:hAnsi="微软雅黑" w:eastAsia="微软雅黑"/>
          <w:szCs w:val="21"/>
        </w:rPr>
        <w:t>在肯尼亚，家具市场的收入在 2024 年可达到 5.991 亿美元，预计市场年增长率为 2.95%（2024-2029 年复合年增长率）。客厅家具是市场中最大的细分市场，预计 2024 年的市场容量将达到 2.168 亿美元。预计到 2024 年，肯尼亚五金建材市场的收入可达到 67.5 亿肯尼亚先令。该细分市场的年增长率预计为 2.62%（2024-2029 年复合年增长率）。此外，肯尼亚最近与欧盟达成了一项全面的自由贸易协定，预计将大幅促进双边非石油贸易，目标是在未来五年内达到 1,000 亿美元。这项具有里程碑意义的协议将为肯尼亚贸易和服务业的增长做出重大贡献。</w:t>
      </w:r>
    </w:p>
    <w:p w14:paraId="54E7EC7A">
      <w:pPr>
        <w:rPr>
          <w:rFonts w:ascii="微软雅黑" w:hAnsi="微软雅黑" w:eastAsia="微软雅黑" w:cs="微软雅黑"/>
          <w:b/>
          <w:bCs/>
          <w:sz w:val="40"/>
          <w:szCs w:val="40"/>
        </w:rPr>
      </w:pPr>
      <w:r>
        <w:rPr>
          <w:rFonts w:hint="eastAsia" w:ascii="微软雅黑" w:hAnsi="微软雅黑" w:eastAsia="微软雅黑" w:cs="微软雅黑"/>
          <w:b/>
          <w:bCs/>
          <w:sz w:val="40"/>
          <w:szCs w:val="40"/>
        </w:rPr>
        <w:t>参展范围</w:t>
      </w:r>
    </w:p>
    <w:p w14:paraId="3ECA8335">
      <w:pPr>
        <w:rPr>
          <w:rFonts w:ascii="微软雅黑" w:hAnsi="微软雅黑" w:eastAsia="微软雅黑" w:cs="宋体"/>
          <w:kern w:val="0"/>
          <w:sz w:val="43"/>
          <w:szCs w:val="43"/>
        </w:rPr>
      </w:pPr>
      <w:r>
        <w:rPr>
          <w:rFonts w:hint="eastAsia" w:ascii="微软雅黑" w:hAnsi="微软雅黑" w:eastAsia="微软雅黑" w:cs="宋体"/>
          <w:kern w:val="0"/>
          <w:sz w:val="43"/>
          <w:szCs w:val="43"/>
        </w:rPr>
        <w:drawing>
          <wp:inline distT="0" distB="0" distL="0" distR="0">
            <wp:extent cx="6208395" cy="2619375"/>
            <wp:effectExtent l="0" t="0" r="190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7" cstate="print">
                      <a:extLst>
                        <a:ext uri="{28A0092B-C50C-407E-A947-70E740481C1C}">
                          <a14:useLocalDpi xmlns:a14="http://schemas.microsoft.com/office/drawing/2010/main" val="0"/>
                        </a:ext>
                      </a:extLst>
                    </a:blip>
                    <a:srcRect t="-2" r="-784" b="36231"/>
                    <a:stretch>
                      <a:fillRect/>
                    </a:stretch>
                  </pic:blipFill>
                  <pic:spPr>
                    <a:xfrm>
                      <a:off x="0" y="0"/>
                      <a:ext cx="6213370" cy="2621237"/>
                    </a:xfrm>
                    <a:prstGeom prst="rect">
                      <a:avLst/>
                    </a:prstGeom>
                    <a:ln>
                      <a:noFill/>
                    </a:ln>
                  </pic:spPr>
                </pic:pic>
              </a:graphicData>
            </a:graphic>
          </wp:inline>
        </w:drawing>
      </w:r>
    </w:p>
    <w:p w14:paraId="45300205">
      <w:pPr>
        <w:pStyle w:val="5"/>
        <w:widowControl/>
        <w:numPr>
          <w:ilvl w:val="0"/>
          <w:numId w:val="1"/>
        </w:numPr>
        <w:shd w:val="clear" w:color="auto" w:fill="FFFFFF"/>
        <w:spacing w:beforeAutospacing="0" w:afterAutospacing="0" w:line="360" w:lineRule="exact"/>
        <w:ind w:hangingChars="200"/>
        <w:rPr>
          <w:rFonts w:ascii="微软雅黑" w:hAnsi="微软雅黑" w:eastAsia="微软雅黑"/>
          <w:sz w:val="21"/>
          <w:szCs w:val="21"/>
          <w:shd w:val="clear" w:color="auto" w:fill="FFFFFF"/>
        </w:rPr>
      </w:pPr>
      <w:r>
        <w:rPr>
          <w:rFonts w:hint="eastAsia" w:ascii="微软雅黑" w:hAnsi="微软雅黑" w:eastAsia="微软雅黑"/>
          <w:b/>
          <w:bCs/>
          <w:sz w:val="21"/>
          <w:szCs w:val="21"/>
          <w:shd w:val="clear" w:color="auto" w:fill="FFFFFF"/>
        </w:rPr>
        <w:t>建筑内部装饰和装修：</w:t>
      </w:r>
      <w:r>
        <w:rPr>
          <w:rFonts w:hint="eastAsia" w:ascii="微软雅黑" w:hAnsi="微软雅黑" w:eastAsia="微软雅黑"/>
          <w:sz w:val="21"/>
          <w:szCs w:val="21"/>
          <w:shd w:val="clear" w:color="auto" w:fill="FFFFFF"/>
        </w:rPr>
        <w:t>陶瓷和瓷砖、涂料、密封剂、粘合剂、地板、天花板、墙壁及其他室内装饰、室内建筑照明、厨房、浴室及卫生洁具</w:t>
      </w:r>
    </w:p>
    <w:p w14:paraId="21E53B98">
      <w:pPr>
        <w:widowControl/>
        <w:numPr>
          <w:ilvl w:val="0"/>
          <w:numId w:val="1"/>
        </w:numPr>
        <w:adjustRightInd w:val="0"/>
        <w:snapToGrid w:val="0"/>
        <w:spacing w:line="360" w:lineRule="exact"/>
        <w:ind w:hangingChars="200"/>
        <w:jc w:val="left"/>
        <w:rPr>
          <w:rFonts w:ascii="微软雅黑" w:hAnsi="微软雅黑" w:eastAsia="微软雅黑" w:cs="Times New Roman"/>
          <w:szCs w:val="21"/>
          <w:shd w:val="clear" w:color="auto" w:fill="FFFFFF"/>
        </w:rPr>
      </w:pPr>
      <w:r>
        <w:rPr>
          <w:rFonts w:hint="eastAsia" w:ascii="微软雅黑" w:hAnsi="微软雅黑" w:eastAsia="微软雅黑" w:cs="Microsoft JhengHei"/>
          <w:b/>
          <w:color w:val="000000"/>
          <w:szCs w:val="21"/>
          <w:lang w:bidi="ar"/>
        </w:rPr>
        <w:t>建筑外部装饰和特殊建筑：</w:t>
      </w:r>
      <w:r>
        <w:rPr>
          <w:rFonts w:hint="eastAsia" w:ascii="微软雅黑" w:hAnsi="微软雅黑" w:eastAsia="微软雅黑" w:cs="Microsoft JhengHei"/>
          <w:bCs/>
          <w:color w:val="000000"/>
          <w:szCs w:val="21"/>
          <w:lang w:bidi="ar"/>
        </w:rPr>
        <w:t>铝复合板、门、电梯、自动扶梯和门禁系统、机械、安装和工具、金属、钢和铝、屋顶、覆盖层和玻璃、特殊施工、视窗、门窗五金及配件、窗户、门和防晒系统；</w:t>
      </w:r>
    </w:p>
    <w:p w14:paraId="4CE69784">
      <w:pPr>
        <w:pStyle w:val="5"/>
        <w:widowControl/>
        <w:numPr>
          <w:ilvl w:val="0"/>
          <w:numId w:val="1"/>
        </w:numPr>
        <w:shd w:val="clear" w:color="auto" w:fill="FFFFFF"/>
        <w:spacing w:beforeAutospacing="0" w:afterAutospacing="0" w:line="360" w:lineRule="exact"/>
        <w:ind w:hangingChars="200"/>
        <w:rPr>
          <w:rFonts w:ascii="微软雅黑" w:hAnsi="微软雅黑" w:eastAsia="微软雅黑" w:cs="Microsoft JhengHei"/>
          <w:bCs/>
          <w:color w:val="000000"/>
          <w:kern w:val="2"/>
          <w:sz w:val="21"/>
          <w:szCs w:val="21"/>
          <w:lang w:bidi="ar"/>
        </w:rPr>
      </w:pPr>
      <w:r>
        <w:rPr>
          <w:rFonts w:hint="eastAsia" w:ascii="微软雅黑" w:hAnsi="微软雅黑" w:eastAsia="微软雅黑"/>
          <w:b/>
          <w:bCs/>
          <w:sz w:val="21"/>
          <w:szCs w:val="21"/>
          <w:shd w:val="clear" w:color="auto" w:fill="FFFFFF"/>
        </w:rPr>
        <w:t>建筑材料：</w:t>
      </w:r>
      <w:r>
        <w:rPr>
          <w:rFonts w:hint="eastAsia" w:ascii="微软雅黑" w:hAnsi="微软雅黑" w:eastAsia="微软雅黑" w:cs="Microsoft JhengHei"/>
          <w:bCs/>
          <w:color w:val="000000"/>
          <w:kern w:val="2"/>
          <w:sz w:val="21"/>
          <w:szCs w:val="21"/>
          <w:lang w:bidi="ar"/>
        </w:rPr>
        <w:t>混凝土产品、技术和服务、砌块铺路砖和瓷砖生产设备、水泥及水泥制品、化学品和外加剂、模板和脚手架、金属、钢和铝；</w:t>
      </w:r>
    </w:p>
    <w:p w14:paraId="46896043">
      <w:pPr>
        <w:widowControl/>
        <w:numPr>
          <w:ilvl w:val="0"/>
          <w:numId w:val="1"/>
        </w:numPr>
        <w:adjustRightInd w:val="0"/>
        <w:snapToGrid w:val="0"/>
        <w:spacing w:line="360" w:lineRule="exact"/>
        <w:ind w:hangingChars="200"/>
        <w:jc w:val="left"/>
        <w:rPr>
          <w:rFonts w:ascii="微软雅黑" w:hAnsi="微软雅黑" w:eastAsia="微软雅黑" w:cs="Microsoft JhengHei"/>
          <w:bCs/>
          <w:color w:val="000000"/>
          <w:szCs w:val="21"/>
          <w:lang w:bidi="ar"/>
        </w:rPr>
      </w:pPr>
      <w:r>
        <w:rPr>
          <w:rFonts w:hint="eastAsia" w:ascii="微软雅黑" w:hAnsi="微软雅黑" w:eastAsia="微软雅黑" w:cs="Microsoft JhengHei"/>
          <w:b/>
          <w:color w:val="000000"/>
          <w:szCs w:val="21"/>
          <w:lang w:bidi="ar"/>
        </w:rPr>
        <w:t>数字化建设：</w:t>
      </w:r>
      <w:r>
        <w:rPr>
          <w:rFonts w:hint="eastAsia" w:ascii="微软雅黑" w:hAnsi="微软雅黑" w:eastAsia="微软雅黑" w:cs="Microsoft JhengHei"/>
          <w:bCs/>
          <w:color w:val="000000"/>
          <w:szCs w:val="21"/>
          <w:lang w:bidi="ar"/>
        </w:rPr>
        <w:t>3D 打印、人工智能（AI）、施工管理与软件、信息管理与数据科学、无人驾驶和自主技术、可视化、可穿戴设备；</w:t>
      </w:r>
    </w:p>
    <w:p w14:paraId="1A9CE276">
      <w:pPr>
        <w:widowControl/>
        <w:numPr>
          <w:ilvl w:val="0"/>
          <w:numId w:val="1"/>
        </w:numPr>
        <w:adjustRightInd w:val="0"/>
        <w:snapToGrid w:val="0"/>
        <w:spacing w:line="360" w:lineRule="exact"/>
        <w:ind w:hangingChars="200"/>
        <w:jc w:val="left"/>
        <w:rPr>
          <w:rFonts w:ascii="微软雅黑" w:hAnsi="微软雅黑" w:eastAsia="微软雅黑" w:cs="Microsoft JhengHei"/>
          <w:bCs/>
          <w:color w:val="000000"/>
          <w:szCs w:val="21"/>
          <w:lang w:bidi="ar"/>
        </w:rPr>
      </w:pPr>
      <w:r>
        <w:rPr>
          <w:rFonts w:hint="eastAsia" w:ascii="微软雅黑" w:hAnsi="微软雅黑" w:eastAsia="微软雅黑" w:cs="Microsoft JhengHei"/>
          <w:b/>
          <w:color w:val="000000"/>
          <w:szCs w:val="21"/>
          <w:lang w:bidi="ar"/>
        </w:rPr>
        <w:t>机电服务：</w:t>
      </w:r>
      <w:r>
        <w:rPr>
          <w:rFonts w:hint="eastAsia" w:ascii="微软雅黑" w:hAnsi="微软雅黑" w:eastAsia="微软雅黑" w:cs="Microsoft JhengHei"/>
          <w:bCs/>
          <w:color w:val="000000"/>
          <w:szCs w:val="21"/>
          <w:lang w:bidi="ar"/>
        </w:rPr>
        <w:t>电气系统及产品、泵、管道和水管、安全、安保和消防；</w:t>
      </w:r>
    </w:p>
    <w:p w14:paraId="1C86F0D7">
      <w:pPr>
        <w:widowControl/>
        <w:numPr>
          <w:ilvl w:val="0"/>
          <w:numId w:val="1"/>
        </w:numPr>
        <w:adjustRightInd w:val="0"/>
        <w:snapToGrid w:val="0"/>
        <w:spacing w:line="360" w:lineRule="exact"/>
        <w:ind w:hangingChars="200"/>
        <w:jc w:val="left"/>
        <w:rPr>
          <w:rFonts w:ascii="微软雅黑" w:hAnsi="微软雅黑" w:eastAsia="微软雅黑" w:cs="Microsoft JhengHei"/>
          <w:bCs/>
          <w:color w:val="000000"/>
          <w:szCs w:val="21"/>
          <w:lang w:bidi="ar"/>
        </w:rPr>
      </w:pPr>
      <w:r>
        <w:rPr>
          <w:rFonts w:hint="eastAsia" w:ascii="微软雅黑" w:hAnsi="微软雅黑" w:eastAsia="微软雅黑" w:cs="Microsoft JhengHei"/>
          <w:b/>
          <w:color w:val="000000"/>
          <w:szCs w:val="21"/>
          <w:lang w:bidi="ar"/>
        </w:rPr>
        <w:t>施工工具和个人防护装备：</w:t>
      </w:r>
      <w:r>
        <w:rPr>
          <w:rFonts w:hint="eastAsia" w:ascii="微软雅黑" w:hAnsi="微软雅黑" w:eastAsia="微软雅黑" w:cs="Microsoft JhengHei"/>
          <w:bCs/>
          <w:color w:val="000000"/>
          <w:szCs w:val="21"/>
          <w:lang w:bidi="ar"/>
        </w:rPr>
        <w:t>硬件、工作安全设备和装备；</w:t>
      </w:r>
    </w:p>
    <w:p w14:paraId="5B0F4F73">
      <w:pPr>
        <w:widowControl/>
        <w:numPr>
          <w:ilvl w:val="0"/>
          <w:numId w:val="1"/>
        </w:numPr>
        <w:adjustRightInd w:val="0"/>
        <w:snapToGrid w:val="0"/>
        <w:spacing w:line="360" w:lineRule="exact"/>
        <w:ind w:hangingChars="200"/>
        <w:jc w:val="left"/>
        <w:rPr>
          <w:rFonts w:ascii="微软雅黑" w:hAnsi="微软雅黑" w:eastAsia="微软雅黑" w:cs="Microsoft JhengHei"/>
          <w:bCs/>
          <w:color w:val="000000"/>
          <w:szCs w:val="21"/>
          <w:lang w:bidi="ar"/>
        </w:rPr>
      </w:pPr>
      <w:r>
        <w:rPr>
          <w:rFonts w:hint="eastAsia" w:ascii="微软雅黑" w:hAnsi="微软雅黑" w:eastAsia="微软雅黑" w:cs="Microsoft JhengHei"/>
          <w:b/>
          <w:color w:val="000000"/>
          <w:szCs w:val="21"/>
          <w:lang w:bidi="ar"/>
        </w:rPr>
        <w:t>重型建筑：</w:t>
      </w:r>
      <w:r>
        <w:rPr>
          <w:rFonts w:hint="eastAsia" w:ascii="微软雅黑" w:hAnsi="微软雅黑" w:eastAsia="微软雅黑" w:cs="Microsoft JhengHei"/>
          <w:bCs/>
          <w:color w:val="000000"/>
          <w:szCs w:val="21"/>
          <w:lang w:bidi="ar"/>
        </w:rPr>
        <w:t>肺动脉高压、采石和采矿、现场设备、地下；</w:t>
      </w:r>
    </w:p>
    <w:p w14:paraId="3A97F722">
      <w:pPr>
        <w:widowControl/>
        <w:numPr>
          <w:ilvl w:val="0"/>
          <w:numId w:val="1"/>
        </w:numPr>
        <w:adjustRightInd w:val="0"/>
        <w:snapToGrid w:val="0"/>
        <w:spacing w:line="360" w:lineRule="exact"/>
        <w:ind w:hangingChars="200"/>
        <w:jc w:val="left"/>
        <w:rPr>
          <w:rFonts w:ascii="微软雅黑" w:hAnsi="微软雅黑" w:eastAsia="微软雅黑" w:cs="Microsoft JhengHei"/>
          <w:bCs/>
          <w:color w:val="000000"/>
          <w:szCs w:val="21"/>
          <w:lang w:bidi="ar"/>
        </w:rPr>
      </w:pPr>
      <w:r>
        <w:rPr>
          <w:rFonts w:hint="eastAsia" w:ascii="微软雅黑" w:hAnsi="微软雅黑" w:eastAsia="微软雅黑" w:cs="Microsoft JhengHei"/>
          <w:b/>
          <w:color w:val="000000"/>
          <w:szCs w:val="21"/>
          <w:lang w:bidi="ar"/>
        </w:rPr>
        <w:t>城市设计和景观产品：</w:t>
      </w:r>
      <w:r>
        <w:rPr>
          <w:rFonts w:hint="eastAsia" w:ascii="微软雅黑" w:hAnsi="微软雅黑" w:eastAsia="微软雅黑" w:cs="Microsoft JhengHei"/>
          <w:bCs/>
          <w:color w:val="000000"/>
          <w:szCs w:val="21"/>
          <w:lang w:bidi="ar"/>
        </w:rPr>
        <w:t>硬质景观、灌溉和排水、机械设备、材料和组件、专业领域、运动与游乐场。</w:t>
      </w:r>
    </w:p>
    <w:p w14:paraId="38D8E781">
      <w:pPr>
        <w:widowControl/>
        <w:numPr>
          <w:ilvl w:val="0"/>
          <w:numId w:val="1"/>
        </w:numPr>
        <w:adjustRightInd w:val="0"/>
        <w:snapToGrid w:val="0"/>
        <w:spacing w:line="360" w:lineRule="exact"/>
        <w:ind w:hangingChars="200"/>
        <w:jc w:val="left"/>
        <w:rPr>
          <w:rFonts w:ascii="微软雅黑" w:hAnsi="微软雅黑" w:eastAsia="微软雅黑" w:cs="Microsoft JhengHei"/>
          <w:bCs/>
          <w:color w:val="000000"/>
          <w:szCs w:val="21"/>
          <w:lang w:bidi="ar"/>
        </w:rPr>
      </w:pPr>
      <w:r>
        <w:rPr>
          <w:rFonts w:hint="eastAsia" w:ascii="微软雅黑" w:hAnsi="微软雅黑" w:eastAsia="微软雅黑" w:cs="Microsoft JhengHei"/>
          <w:b/>
          <w:color w:val="000000"/>
          <w:szCs w:val="21"/>
          <w:lang w:bidi="ar"/>
        </w:rPr>
        <w:t>家具类</w:t>
      </w:r>
      <w:r>
        <w:rPr>
          <w:rFonts w:ascii="微软雅黑" w:hAnsi="微软雅黑" w:eastAsia="微软雅黑" w:cs="Microsoft JhengHei"/>
          <w:b/>
          <w:color w:val="000000"/>
          <w:szCs w:val="21"/>
          <w:lang w:bidi="ar"/>
        </w:rPr>
        <w:t>：</w:t>
      </w:r>
      <w:r>
        <w:rPr>
          <w:rFonts w:hint="eastAsia" w:ascii="微软雅黑" w:hAnsi="微软雅黑" w:eastAsia="微软雅黑" w:cs="Microsoft JhengHei"/>
          <w:color w:val="000000"/>
          <w:szCs w:val="21"/>
          <w:lang w:bidi="ar"/>
        </w:rPr>
        <w:t>单人床</w:t>
      </w:r>
      <w:r>
        <w:rPr>
          <w:rFonts w:ascii="微软雅黑" w:hAnsi="微软雅黑" w:eastAsia="微软雅黑" w:cs="Microsoft JhengHei"/>
          <w:color w:val="000000"/>
          <w:szCs w:val="21"/>
          <w:lang w:bidi="ar"/>
        </w:rPr>
        <w:t>、</w:t>
      </w:r>
      <w:r>
        <w:rPr>
          <w:rFonts w:hint="eastAsia" w:ascii="微软雅黑" w:hAnsi="微软雅黑" w:eastAsia="微软雅黑" w:cs="Microsoft JhengHei"/>
          <w:color w:val="000000"/>
          <w:szCs w:val="21"/>
          <w:lang w:bidi="ar"/>
        </w:rPr>
        <w:t>双人床</w:t>
      </w:r>
      <w:r>
        <w:rPr>
          <w:rFonts w:ascii="微软雅黑" w:hAnsi="微软雅黑" w:eastAsia="微软雅黑" w:cs="Microsoft JhengHei"/>
          <w:color w:val="000000"/>
          <w:szCs w:val="21"/>
          <w:lang w:bidi="ar"/>
        </w:rPr>
        <w:t>、床头柜、衣柜、</w:t>
      </w:r>
      <w:r>
        <w:rPr>
          <w:rFonts w:hint="eastAsia" w:ascii="微软雅黑" w:hAnsi="微软雅黑" w:eastAsia="微软雅黑" w:cs="Microsoft JhengHei"/>
          <w:color w:val="000000"/>
          <w:szCs w:val="21"/>
          <w:lang w:bidi="ar"/>
        </w:rPr>
        <w:t>梳妆台</w:t>
      </w:r>
      <w:r>
        <w:rPr>
          <w:rFonts w:ascii="微软雅黑" w:hAnsi="微软雅黑" w:eastAsia="微软雅黑" w:cs="Microsoft JhengHei"/>
          <w:color w:val="000000"/>
          <w:szCs w:val="21"/>
          <w:lang w:bidi="ar"/>
        </w:rPr>
        <w:t>、沙发和椅子、咖啡</w:t>
      </w:r>
      <w:r>
        <w:rPr>
          <w:rFonts w:hint="eastAsia" w:ascii="微软雅黑" w:hAnsi="微软雅黑" w:eastAsia="微软雅黑" w:cs="Microsoft JhengHei"/>
          <w:color w:val="000000"/>
          <w:szCs w:val="21"/>
          <w:lang w:bidi="ar"/>
        </w:rPr>
        <w:t>桌、</w:t>
      </w:r>
      <w:r>
        <w:rPr>
          <w:rFonts w:ascii="微软雅黑" w:hAnsi="微软雅黑" w:eastAsia="微软雅黑" w:cs="Microsoft JhengHei"/>
          <w:color w:val="000000"/>
          <w:szCs w:val="21"/>
          <w:lang w:bidi="ar"/>
        </w:rPr>
        <w:t>电视柜、</w:t>
      </w:r>
      <w:r>
        <w:rPr>
          <w:rFonts w:hint="eastAsia" w:ascii="微软雅黑" w:hAnsi="微软雅黑" w:eastAsia="微软雅黑" w:cs="Microsoft JhengHei"/>
          <w:color w:val="000000"/>
          <w:szCs w:val="21"/>
          <w:lang w:bidi="ar"/>
        </w:rPr>
        <w:t>书架</w:t>
      </w:r>
      <w:r>
        <w:rPr>
          <w:rFonts w:ascii="微软雅黑" w:hAnsi="微软雅黑" w:eastAsia="微软雅黑" w:cs="Microsoft JhengHei"/>
          <w:color w:val="000000"/>
          <w:szCs w:val="21"/>
          <w:lang w:bidi="ar"/>
        </w:rPr>
        <w:t>、餐桌、餐椅、餐边柜、</w:t>
      </w:r>
      <w:r>
        <w:rPr>
          <w:rFonts w:hint="eastAsia" w:ascii="微软雅黑" w:hAnsi="微软雅黑" w:eastAsia="微软雅黑" w:cs="Microsoft JhengHei"/>
          <w:color w:val="000000"/>
          <w:szCs w:val="21"/>
          <w:lang w:bidi="ar"/>
        </w:rPr>
        <w:t>办公桌</w:t>
      </w:r>
      <w:r>
        <w:rPr>
          <w:rFonts w:ascii="微软雅黑" w:hAnsi="微软雅黑" w:eastAsia="微软雅黑" w:cs="Microsoft JhengHei"/>
          <w:color w:val="000000"/>
          <w:szCs w:val="21"/>
          <w:lang w:bidi="ar"/>
        </w:rPr>
        <w:t>、办公椅、书柜、户外桌椅、秋千椅、休闲椅、展示柜、装饰桌</w:t>
      </w:r>
      <w:r>
        <w:rPr>
          <w:rFonts w:hint="eastAsia" w:ascii="微软雅黑" w:hAnsi="微软雅黑" w:eastAsia="微软雅黑" w:cs="Microsoft JhengHei"/>
          <w:color w:val="000000"/>
          <w:szCs w:val="21"/>
          <w:lang w:bidi="ar"/>
        </w:rPr>
        <w:t>、</w:t>
      </w:r>
      <w:r>
        <w:rPr>
          <w:rFonts w:ascii="微软雅黑" w:hAnsi="微软雅黑" w:eastAsia="微软雅黑" w:cs="Microsoft JhengHei"/>
          <w:color w:val="000000"/>
          <w:szCs w:val="21"/>
          <w:lang w:bidi="ar"/>
        </w:rPr>
        <w:t>可折叠</w:t>
      </w:r>
      <w:r>
        <w:rPr>
          <w:rFonts w:hint="eastAsia" w:ascii="微软雅黑" w:hAnsi="微软雅黑" w:eastAsia="微软雅黑" w:cs="Microsoft JhengHei"/>
          <w:color w:val="000000"/>
          <w:szCs w:val="21"/>
          <w:lang w:bidi="ar"/>
        </w:rPr>
        <w:t>家具</w:t>
      </w:r>
      <w:r>
        <w:rPr>
          <w:rFonts w:ascii="微软雅黑" w:hAnsi="微软雅黑" w:eastAsia="微软雅黑" w:cs="Microsoft JhengHei"/>
          <w:color w:val="000000"/>
          <w:szCs w:val="21"/>
          <w:lang w:bidi="ar"/>
        </w:rPr>
        <w:t>、沙发床、储物凳</w:t>
      </w:r>
      <w:r>
        <w:rPr>
          <w:rFonts w:hint="eastAsia" w:ascii="微软雅黑" w:hAnsi="微软雅黑" w:eastAsia="微软雅黑" w:cs="Microsoft JhengHei"/>
          <w:color w:val="000000"/>
          <w:szCs w:val="21"/>
          <w:lang w:bidi="ar"/>
        </w:rPr>
        <w:t>。</w:t>
      </w:r>
    </w:p>
    <w:p w14:paraId="0B77AFFF">
      <w:pPr>
        <w:widowControl/>
        <w:tabs>
          <w:tab w:val="left" w:pos="420"/>
        </w:tabs>
        <w:kinsoku w:val="0"/>
        <w:autoSpaceDE w:val="0"/>
        <w:autoSpaceDN w:val="0"/>
        <w:adjustRightInd w:val="0"/>
        <w:spacing w:line="360" w:lineRule="exact"/>
        <w:textAlignment w:val="baseline"/>
        <w:rPr>
          <w:rFonts w:ascii="微软雅黑" w:hAnsi="微软雅黑" w:eastAsia="微软雅黑"/>
          <w:b/>
          <w:bCs/>
          <w:color w:val="000000"/>
          <w:szCs w:val="21"/>
          <w:shd w:val="clear" w:color="auto" w:fill="FFFFFF"/>
        </w:rPr>
      </w:pPr>
    </w:p>
    <w:sectPr>
      <w:type w:val="continuous"/>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Microsoft JhengHei">
    <w:panose1 w:val="020B0604030504040204"/>
    <w:charset w:val="88"/>
    <w:family w:val="swiss"/>
    <w:pitch w:val="default"/>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103943"/>
    <w:multiLevelType w:val="singleLevel"/>
    <w:tmpl w:val="AE103943"/>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wZTUyNjZlMWNiZTRhYWQ0OWNkYjI5YjM0NGI4NGUifQ=="/>
  </w:docVars>
  <w:rsids>
    <w:rsidRoot w:val="001F6BF5"/>
    <w:rsid w:val="000762B7"/>
    <w:rsid w:val="000C2C44"/>
    <w:rsid w:val="000E2595"/>
    <w:rsid w:val="00117AF9"/>
    <w:rsid w:val="0013365A"/>
    <w:rsid w:val="001456E6"/>
    <w:rsid w:val="00151250"/>
    <w:rsid w:val="00156C2E"/>
    <w:rsid w:val="00160885"/>
    <w:rsid w:val="0019276A"/>
    <w:rsid w:val="001971C3"/>
    <w:rsid w:val="001A20DB"/>
    <w:rsid w:val="001A32BE"/>
    <w:rsid w:val="001D1554"/>
    <w:rsid w:val="001E5EF8"/>
    <w:rsid w:val="001F6BF5"/>
    <w:rsid w:val="00216158"/>
    <w:rsid w:val="00231038"/>
    <w:rsid w:val="00246421"/>
    <w:rsid w:val="00252079"/>
    <w:rsid w:val="0027683B"/>
    <w:rsid w:val="00294CC7"/>
    <w:rsid w:val="002A1267"/>
    <w:rsid w:val="002D5E1D"/>
    <w:rsid w:val="002E368C"/>
    <w:rsid w:val="002F1554"/>
    <w:rsid w:val="0030690E"/>
    <w:rsid w:val="00336EEA"/>
    <w:rsid w:val="00344DAB"/>
    <w:rsid w:val="003454CF"/>
    <w:rsid w:val="003822A3"/>
    <w:rsid w:val="003B0BEB"/>
    <w:rsid w:val="003B6EA5"/>
    <w:rsid w:val="003C3988"/>
    <w:rsid w:val="003E00D2"/>
    <w:rsid w:val="003F48E7"/>
    <w:rsid w:val="003F51B0"/>
    <w:rsid w:val="00402281"/>
    <w:rsid w:val="00423C6D"/>
    <w:rsid w:val="00425440"/>
    <w:rsid w:val="004405F0"/>
    <w:rsid w:val="00457462"/>
    <w:rsid w:val="004771DA"/>
    <w:rsid w:val="00483FD1"/>
    <w:rsid w:val="004B4D59"/>
    <w:rsid w:val="004C75E8"/>
    <w:rsid w:val="004D247A"/>
    <w:rsid w:val="004F2B98"/>
    <w:rsid w:val="005008D3"/>
    <w:rsid w:val="00501F35"/>
    <w:rsid w:val="005034E8"/>
    <w:rsid w:val="0051659E"/>
    <w:rsid w:val="005430BB"/>
    <w:rsid w:val="00552E94"/>
    <w:rsid w:val="00553DC5"/>
    <w:rsid w:val="00567F68"/>
    <w:rsid w:val="005B1E98"/>
    <w:rsid w:val="005E55B2"/>
    <w:rsid w:val="005F7B56"/>
    <w:rsid w:val="00602921"/>
    <w:rsid w:val="00602D86"/>
    <w:rsid w:val="00607E21"/>
    <w:rsid w:val="00634549"/>
    <w:rsid w:val="006416E3"/>
    <w:rsid w:val="0067171E"/>
    <w:rsid w:val="00677DEF"/>
    <w:rsid w:val="006809E7"/>
    <w:rsid w:val="00685DB8"/>
    <w:rsid w:val="006B1859"/>
    <w:rsid w:val="006C2201"/>
    <w:rsid w:val="006F7741"/>
    <w:rsid w:val="00703412"/>
    <w:rsid w:val="00705F5B"/>
    <w:rsid w:val="00706CD6"/>
    <w:rsid w:val="00711BEB"/>
    <w:rsid w:val="00720D10"/>
    <w:rsid w:val="007306A3"/>
    <w:rsid w:val="00740439"/>
    <w:rsid w:val="00771494"/>
    <w:rsid w:val="00780CC2"/>
    <w:rsid w:val="007D2B63"/>
    <w:rsid w:val="007D6431"/>
    <w:rsid w:val="007E5C82"/>
    <w:rsid w:val="00822ACC"/>
    <w:rsid w:val="008606E7"/>
    <w:rsid w:val="00874574"/>
    <w:rsid w:val="00881F13"/>
    <w:rsid w:val="008A212E"/>
    <w:rsid w:val="008A3E54"/>
    <w:rsid w:val="008B24EF"/>
    <w:rsid w:val="008B6E42"/>
    <w:rsid w:val="00902348"/>
    <w:rsid w:val="009361CA"/>
    <w:rsid w:val="0094240F"/>
    <w:rsid w:val="00953365"/>
    <w:rsid w:val="00957711"/>
    <w:rsid w:val="00996745"/>
    <w:rsid w:val="009A7A2A"/>
    <w:rsid w:val="009D1B1A"/>
    <w:rsid w:val="009D4F31"/>
    <w:rsid w:val="009F437F"/>
    <w:rsid w:val="00A60361"/>
    <w:rsid w:val="00A62108"/>
    <w:rsid w:val="00A638F4"/>
    <w:rsid w:val="00A9782F"/>
    <w:rsid w:val="00AB4348"/>
    <w:rsid w:val="00AC3C06"/>
    <w:rsid w:val="00AC4C97"/>
    <w:rsid w:val="00AD5A63"/>
    <w:rsid w:val="00AE6D03"/>
    <w:rsid w:val="00B036E1"/>
    <w:rsid w:val="00B20F76"/>
    <w:rsid w:val="00B41C6B"/>
    <w:rsid w:val="00B96FCA"/>
    <w:rsid w:val="00BB6D7A"/>
    <w:rsid w:val="00BC16E2"/>
    <w:rsid w:val="00BE22D7"/>
    <w:rsid w:val="00C010FA"/>
    <w:rsid w:val="00C0398D"/>
    <w:rsid w:val="00C278A5"/>
    <w:rsid w:val="00C436D3"/>
    <w:rsid w:val="00C957E6"/>
    <w:rsid w:val="00D011DA"/>
    <w:rsid w:val="00D128B4"/>
    <w:rsid w:val="00D51C53"/>
    <w:rsid w:val="00D876EB"/>
    <w:rsid w:val="00D95316"/>
    <w:rsid w:val="00DA37DB"/>
    <w:rsid w:val="00DC2338"/>
    <w:rsid w:val="00E074E8"/>
    <w:rsid w:val="00E25BC6"/>
    <w:rsid w:val="00E85629"/>
    <w:rsid w:val="00EB2F5A"/>
    <w:rsid w:val="00EB5A64"/>
    <w:rsid w:val="00EB5D55"/>
    <w:rsid w:val="00EC7B7C"/>
    <w:rsid w:val="00ED031A"/>
    <w:rsid w:val="00EE09F6"/>
    <w:rsid w:val="00EF5D7B"/>
    <w:rsid w:val="00F136A3"/>
    <w:rsid w:val="00F42678"/>
    <w:rsid w:val="00F53E66"/>
    <w:rsid w:val="00F632ED"/>
    <w:rsid w:val="00FA1014"/>
    <w:rsid w:val="00FB2B9E"/>
    <w:rsid w:val="00FD3350"/>
    <w:rsid w:val="041F5699"/>
    <w:rsid w:val="06A67E6B"/>
    <w:rsid w:val="080407C4"/>
    <w:rsid w:val="09EF5447"/>
    <w:rsid w:val="0ED1413C"/>
    <w:rsid w:val="132C67E2"/>
    <w:rsid w:val="140F2E4A"/>
    <w:rsid w:val="167F2A48"/>
    <w:rsid w:val="1A3C5ABC"/>
    <w:rsid w:val="1B7D2CDE"/>
    <w:rsid w:val="1BE31CC3"/>
    <w:rsid w:val="210A42D5"/>
    <w:rsid w:val="23770662"/>
    <w:rsid w:val="2FC33BD3"/>
    <w:rsid w:val="2FF01822"/>
    <w:rsid w:val="31AB3BD5"/>
    <w:rsid w:val="324837DA"/>
    <w:rsid w:val="33780B7C"/>
    <w:rsid w:val="37A14BDC"/>
    <w:rsid w:val="37EB6767"/>
    <w:rsid w:val="39DE5BC6"/>
    <w:rsid w:val="3B652F0D"/>
    <w:rsid w:val="3E832EAB"/>
    <w:rsid w:val="41D148C1"/>
    <w:rsid w:val="42832E2D"/>
    <w:rsid w:val="42F02AD9"/>
    <w:rsid w:val="462E5DF2"/>
    <w:rsid w:val="483462A4"/>
    <w:rsid w:val="495C2C76"/>
    <w:rsid w:val="49B36BD3"/>
    <w:rsid w:val="4A1F71D6"/>
    <w:rsid w:val="4DA14D78"/>
    <w:rsid w:val="4F371F35"/>
    <w:rsid w:val="5100482F"/>
    <w:rsid w:val="519A7A59"/>
    <w:rsid w:val="51B30DAC"/>
    <w:rsid w:val="56772E9D"/>
    <w:rsid w:val="59484FC5"/>
    <w:rsid w:val="5B943451"/>
    <w:rsid w:val="5C2A09B2"/>
    <w:rsid w:val="5DA327CA"/>
    <w:rsid w:val="5E8B1409"/>
    <w:rsid w:val="5ECB022A"/>
    <w:rsid w:val="63334E9C"/>
    <w:rsid w:val="64846B00"/>
    <w:rsid w:val="6487730D"/>
    <w:rsid w:val="66EB6610"/>
    <w:rsid w:val="67AD0415"/>
    <w:rsid w:val="69B17AA6"/>
    <w:rsid w:val="69BE2348"/>
    <w:rsid w:val="6A0961EA"/>
    <w:rsid w:val="72080C08"/>
    <w:rsid w:val="741D7EEB"/>
    <w:rsid w:val="77BB3B58"/>
    <w:rsid w:val="78B95140"/>
    <w:rsid w:val="78E47A8C"/>
    <w:rsid w:val="7AE70D64"/>
    <w:rsid w:val="7B0630C7"/>
    <w:rsid w:val="7BDB1CFE"/>
    <w:rsid w:val="7BDF4EBD"/>
    <w:rsid w:val="7C582096"/>
    <w:rsid w:val="7DF7741D"/>
    <w:rsid w:val="7F840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Cs w:val="21"/>
      <w:lang w:eastAsia="en-US"/>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22"/>
    <w:rPr>
      <w:b/>
    </w:rPr>
  </w:style>
  <w:style w:type="table" w:customStyle="1" w:styleId="9">
    <w:name w:val="Table Normal1"/>
    <w:autoRedefine/>
    <w:semiHidden/>
    <w:unhideWhenUsed/>
    <w:qFormat/>
    <w:uiPriority w:val="0"/>
    <w:tblPr>
      <w:tblCellMar>
        <w:top w:w="0" w:type="dxa"/>
        <w:left w:w="0" w:type="dxa"/>
        <w:bottom w:w="0" w:type="dxa"/>
        <w:right w:w="0" w:type="dxa"/>
      </w:tblCellMar>
    </w:tblPr>
  </w:style>
  <w:style w:type="character" w:customStyle="1" w:styleId="10">
    <w:name w:val="页眉 Char"/>
    <w:basedOn w:val="7"/>
    <w:link w:val="4"/>
    <w:qFormat/>
    <w:uiPriority w:val="0"/>
    <w:rPr>
      <w:rFonts w:asciiTheme="minorHAnsi" w:hAnsiTheme="minorHAnsi" w:eastAsiaTheme="minorEastAsia" w:cstheme="minorBidi"/>
      <w:kern w:val="2"/>
      <w:sz w:val="18"/>
      <w:szCs w:val="18"/>
    </w:rPr>
  </w:style>
  <w:style w:type="character" w:customStyle="1" w:styleId="11">
    <w:name w:val="页脚 Char"/>
    <w:basedOn w:val="7"/>
    <w:link w:val="3"/>
    <w:qFormat/>
    <w:uiPriority w:val="0"/>
    <w:rPr>
      <w:rFonts w:asciiTheme="minorHAnsi" w:hAnsiTheme="minorHAnsi" w:eastAsiaTheme="minorEastAsia" w:cstheme="minorBidi"/>
      <w:kern w:val="2"/>
      <w:sz w:val="18"/>
      <w:szCs w:val="18"/>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B5E82-4003-4819-AF37-3F4B874396C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1771</Words>
  <Characters>1915</Characters>
  <Lines>14</Lines>
  <Paragraphs>3</Paragraphs>
  <TotalTime>102</TotalTime>
  <ScaleCrop>false</ScaleCrop>
  <LinksUpToDate>false</LinksUpToDate>
  <CharactersWithSpaces>1950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2024-10-14T05:15:00Z</dcterms:created>
  <dc:creator>10219</dc:creator>
  <cp:lastModifiedBy>WPS_1699857115</cp:lastModifiedBy>
  <dcterms:modified xsi:type="dcterms:W3CDTF">2024-11-01T03:17:41Z</dcterms:modified>
  <cp:revision>125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056A493725F54D3296F274D6DBE3699A_13</vt:lpwstr>
  </property>
</Properties>
</file>