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BA22E">
      <w:pPr>
        <w:jc w:val="center"/>
        <w:rPr>
          <w:rFonts w:ascii="宋体" w:hAnsi="宋体" w:eastAsia="宋体" w:cs="宋体"/>
          <w:sz w:val="24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56"/>
          <w:szCs w:val="56"/>
        </w:rPr>
        <w:t>2025年肯尼亚贸易周(CTW)</w:t>
      </w:r>
    </w:p>
    <w:p w14:paraId="5DD4CB52"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2071370" cy="602615"/>
            <wp:effectExtent l="0" t="0" r="0" b="5715"/>
            <wp:docPr id="2" name="图片 2" descr="E:\李姗\MIE\招展资料—改后\2024.6\6.25-27 肯尼亚贸易周  (CTW）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李姗\MIE\招展资料—改后\2024.6\6.25-27 肯尼亚贸易周  (CTW）\图片1.png图片1"/>
                    <pic:cNvPicPr>
                      <a:picLocks noChangeAspect="1"/>
                    </pic:cNvPicPr>
                  </pic:nvPicPr>
                  <pic:blipFill>
                    <a:blip r:embed="rId4"/>
                    <a:srcRect t="11757" b="11757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F218">
      <w:pPr>
        <w:jc w:val="left"/>
        <w:rPr>
          <w:rFonts w:ascii="微软雅黑" w:hAnsi="微软雅黑" w:eastAsia="微软雅黑" w:cs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展会介绍</w:t>
      </w:r>
    </w:p>
    <w:p w14:paraId="278EAE1F">
      <w:pPr>
        <w:pStyle w:val="2"/>
        <w:tabs>
          <w:tab w:val="left" w:pos="5460"/>
        </w:tabs>
        <w:jc w:val="left"/>
        <w:rPr>
          <w:b/>
          <w:bCs/>
          <w:color w:val="050E17"/>
          <w:spacing w:val="9"/>
          <w:sz w:val="24"/>
          <w:szCs w:val="24"/>
          <w:lang w:eastAsia="zh-CN"/>
        </w:rPr>
        <w:sectPr>
          <w:pgSz w:w="11906" w:h="16838"/>
          <w:pgMar w:top="1440" w:right="1134" w:bottom="1440" w:left="1134" w:header="851" w:footer="992" w:gutter="0"/>
          <w:cols w:space="425" w:num="1"/>
          <w:docGrid w:type="lines" w:linePitch="312" w:charSpace="0"/>
        </w:sectPr>
      </w:pPr>
    </w:p>
    <w:p w14:paraId="582A81CE">
      <w:pPr>
        <w:pStyle w:val="2"/>
        <w:tabs>
          <w:tab w:val="left" w:pos="5460"/>
        </w:tabs>
        <w:spacing w:line="360" w:lineRule="exact"/>
        <w:jc w:val="left"/>
        <w:rPr>
          <w:b/>
          <w:bCs/>
          <w:color w:val="050E17"/>
          <w:spacing w:val="9"/>
          <w:lang w:eastAsia="zh-CN"/>
        </w:rPr>
      </w:pPr>
      <w:r>
        <w:rPr>
          <w:b/>
          <w:bCs/>
          <w:color w:val="050E17"/>
          <w:spacing w:val="9"/>
          <w:lang w:eastAsia="zh-CN"/>
        </w:rPr>
        <w:t>展会时间</w:t>
      </w:r>
      <w:r>
        <w:rPr>
          <w:rFonts w:hint="eastAsia"/>
          <w:b/>
          <w:bCs/>
          <w:color w:val="050E17"/>
          <w:spacing w:val="9"/>
          <w:lang w:eastAsia="zh-CN"/>
        </w:rPr>
        <w:t>：2025年7月8-10日</w:t>
      </w:r>
    </w:p>
    <w:p w14:paraId="6E63918B">
      <w:pPr>
        <w:pStyle w:val="2"/>
        <w:tabs>
          <w:tab w:val="left" w:pos="5460"/>
        </w:tabs>
        <w:spacing w:line="360" w:lineRule="exact"/>
        <w:jc w:val="left"/>
        <w:rPr>
          <w:b/>
          <w:bCs/>
          <w:color w:val="050E17"/>
          <w:spacing w:val="9"/>
          <w:lang w:eastAsia="zh-CN"/>
        </w:rPr>
      </w:pPr>
      <w:r>
        <w:rPr>
          <w:b/>
          <w:bCs/>
          <w:color w:val="050E17"/>
          <w:spacing w:val="9"/>
          <w:lang w:eastAsia="zh-CN"/>
        </w:rPr>
        <w:t>主办单位</w:t>
      </w:r>
      <w:r>
        <w:rPr>
          <w:rFonts w:hint="eastAsia"/>
          <w:b/>
          <w:bCs/>
          <w:color w:val="050E17"/>
          <w:spacing w:val="9"/>
          <w:lang w:eastAsia="zh-CN"/>
        </w:rPr>
        <w:t>：</w:t>
      </w:r>
      <w:r>
        <w:rPr>
          <w:b/>
          <w:bCs/>
          <w:color w:val="050E17"/>
          <w:spacing w:val="9"/>
          <w:lang w:eastAsia="zh-CN"/>
        </w:rPr>
        <w:t>MIE</w:t>
      </w:r>
      <w:r>
        <w:rPr>
          <w:rFonts w:hint="eastAsia"/>
          <w:b/>
          <w:bCs/>
          <w:color w:val="050E17"/>
          <w:spacing w:val="9"/>
          <w:lang w:eastAsia="zh-CN"/>
        </w:rPr>
        <w:t xml:space="preserve"> </w:t>
      </w:r>
    </w:p>
    <w:p w14:paraId="35617CC1">
      <w:pPr>
        <w:pStyle w:val="2"/>
        <w:tabs>
          <w:tab w:val="left" w:pos="5460"/>
        </w:tabs>
        <w:spacing w:line="360" w:lineRule="exact"/>
        <w:jc w:val="left"/>
        <w:rPr>
          <w:b/>
          <w:bCs/>
          <w:color w:val="050E17"/>
          <w:spacing w:val="9"/>
          <w:lang w:eastAsia="zh-CN"/>
        </w:rPr>
      </w:pPr>
      <w:r>
        <w:rPr>
          <w:rFonts w:hint="eastAsia"/>
          <w:b/>
          <w:bCs/>
          <w:color w:val="050E17"/>
          <w:spacing w:val="9"/>
          <w:lang w:eastAsia="zh-CN"/>
        </w:rPr>
        <w:t xml:space="preserve">展会地点：肯雅塔国际会展中心(KICC)     </w:t>
      </w:r>
    </w:p>
    <w:p w14:paraId="7C8BE563">
      <w:pPr>
        <w:pStyle w:val="2"/>
        <w:tabs>
          <w:tab w:val="left" w:pos="5460"/>
        </w:tabs>
        <w:spacing w:line="360" w:lineRule="exact"/>
        <w:jc w:val="left"/>
        <w:rPr>
          <w:b/>
          <w:bCs/>
          <w:color w:val="050E17"/>
          <w:spacing w:val="9"/>
          <w:lang w:eastAsia="zh-CN"/>
        </w:rPr>
        <w:sectPr>
          <w:type w:val="continuous"/>
          <w:pgSz w:w="11906" w:h="16838"/>
          <w:pgMar w:top="1440" w:right="1134" w:bottom="1440" w:left="1134" w:header="851" w:footer="992" w:gutter="0"/>
          <w:cols w:equalWidth="0" w:num="2">
            <w:col w:w="5025" w:space="7"/>
            <w:col w:w="4606"/>
          </w:cols>
          <w:docGrid w:type="lines" w:linePitch="312" w:charSpace="0"/>
        </w:sectPr>
      </w:pPr>
      <w:r>
        <w:rPr>
          <w:rFonts w:hint="eastAsia"/>
          <w:b/>
          <w:bCs/>
          <w:color w:val="050E17"/>
          <w:spacing w:val="9"/>
          <w:lang w:eastAsia="zh-CN"/>
        </w:rPr>
        <w:t>举办周期：第十</w:t>
      </w:r>
      <w:r>
        <w:rPr>
          <w:b/>
          <w:bCs/>
          <w:color w:val="050E17"/>
          <w:spacing w:val="9"/>
          <w:lang w:eastAsia="zh-CN"/>
        </w:rPr>
        <w:t>届</w:t>
      </w:r>
    </w:p>
    <w:p w14:paraId="0E1E4368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hAnsi="微软雅黑" w:eastAsia="微软雅黑"/>
          <w:sz w:val="24"/>
        </w:rPr>
      </w:pPr>
    </w:p>
    <w:p w14:paraId="123D70FB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drawing>
          <wp:inline distT="0" distB="0" distL="0" distR="0">
            <wp:extent cx="6065520" cy="2286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4" t="11121" r="308" b="32334"/>
                    <a:stretch>
                      <a:fillRect/>
                    </a:stretch>
                  </pic:blipFill>
                  <pic:spPr>
                    <a:xfrm>
                      <a:off x="0" y="0"/>
                      <a:ext cx="6085584" cy="22933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320FB">
      <w:pPr>
        <w:widowControl/>
        <w:kinsoku w:val="0"/>
        <w:autoSpaceDE w:val="0"/>
        <w:autoSpaceDN w:val="0"/>
        <w:adjustRightInd w:val="0"/>
        <w:snapToGrid w:val="0"/>
        <w:spacing w:line="360" w:lineRule="exact"/>
        <w:ind w:firstLine="420" w:firstLineChars="20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“肯尼亚贸易周</w:t>
      </w:r>
      <w:r>
        <w:rPr>
          <w:rFonts w:ascii="微软雅黑" w:hAnsi="微软雅黑" w:eastAsia="微软雅黑"/>
          <w:szCs w:val="21"/>
        </w:rPr>
        <w:t>CTW KENYA</w:t>
      </w:r>
      <w:r>
        <w:rPr>
          <w:rFonts w:hint="eastAsia" w:ascii="微软雅黑" w:hAnsi="微软雅黑" w:eastAsia="微软雅黑"/>
          <w:szCs w:val="21"/>
        </w:rPr>
        <w:t>”是由中国国际商会倡议和指导，MIE EVENTS DMCC在肯尼亚举办的以“优质中国商品”为主题的展览会、研讨会和文化交流会。自2015年起，已连续在肯尼亚成功举办九届，在当地采购商、华人企业以及媒体之间具有较大影响力，是第一个通过国际展览联盟UFI认证的展会，成为中国企业走进中东非市场的知名品牌。另外，肯尼亚CTW是东非规模最大、影响最广的展会，被誉为“非洲的广交会”。在当地采购商、华人企业及媒体之间具有较大的影响力，是中国企业走进中东非市场的知名展会品牌。</w:t>
      </w:r>
    </w:p>
    <w:p w14:paraId="23B2F9BD">
      <w:pPr>
        <w:widowControl/>
        <w:kinsoku w:val="0"/>
        <w:autoSpaceDE w:val="0"/>
        <w:autoSpaceDN w:val="0"/>
        <w:adjustRightInd w:val="0"/>
        <w:snapToGrid w:val="0"/>
        <w:spacing w:line="360" w:lineRule="exact"/>
        <w:ind w:firstLine="420" w:firstLineChars="20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2024年第九届肯尼亚贸易周于</w:t>
      </w:r>
      <w:r>
        <w:rPr>
          <w:rFonts w:ascii="微软雅黑" w:hAnsi="微软雅黑" w:eastAsia="微软雅黑"/>
          <w:szCs w:val="21"/>
        </w:rPr>
        <w:t>10</w:t>
      </w:r>
      <w:r>
        <w:rPr>
          <w:rFonts w:hint="eastAsia" w:ascii="微软雅黑" w:hAnsi="微软雅黑" w:eastAsia="微软雅黑"/>
          <w:szCs w:val="21"/>
        </w:rPr>
        <w:t>月0</w:t>
      </w: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-</w:t>
      </w:r>
      <w:r>
        <w:rPr>
          <w:rFonts w:ascii="微软雅黑" w:hAnsi="微软雅黑" w:eastAsia="微软雅黑"/>
          <w:szCs w:val="21"/>
        </w:rPr>
        <w:t>04</w:t>
      </w:r>
      <w:r>
        <w:rPr>
          <w:rFonts w:hint="eastAsia" w:ascii="微软雅黑" w:hAnsi="微软雅黑" w:eastAsia="微软雅黑"/>
          <w:szCs w:val="21"/>
        </w:rPr>
        <w:t>日在肯尼亚EDGE会议中心举办，吸引来自全球20多个国家的300余家展商参展，展出面积达15,000平方米，展会同期还请到行业领导进行多场演讲，方便企业了解最新行业趋势并在探讨交流中促成合作。众多参展商已经明确表示，下次展会他们一定还会积极参与，继续在这里展示他们的创新成果，与行业同仁共同推动行业的蓬勃发展。</w:t>
      </w:r>
    </w:p>
    <w:p w14:paraId="79A872AC">
      <w:pPr>
        <w:widowControl/>
        <w:kinsoku w:val="0"/>
        <w:autoSpaceDE w:val="0"/>
        <w:autoSpaceDN w:val="0"/>
        <w:adjustRightInd w:val="0"/>
        <w:snapToGrid w:val="0"/>
        <w:spacing w:line="360" w:lineRule="exact"/>
        <w:ind w:firstLine="420" w:firstLineChars="20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2025年</w:t>
      </w:r>
      <w:r>
        <w:rPr>
          <w:rFonts w:ascii="微软雅黑" w:hAnsi="微软雅黑" w:eastAsia="微软雅黑"/>
          <w:szCs w:val="21"/>
        </w:rPr>
        <w:t>第十届肯尼亚贸易周将于7</w:t>
      </w:r>
      <w:r>
        <w:rPr>
          <w:rFonts w:hint="eastAsia" w:ascii="微软雅黑" w:hAnsi="微软雅黑" w:eastAsia="微软雅黑"/>
          <w:szCs w:val="21"/>
        </w:rPr>
        <w:t>月</w:t>
      </w:r>
      <w:r>
        <w:rPr>
          <w:rFonts w:hint="eastAsia" w:ascii="微软雅黑" w:hAnsi="微软雅黑" w:eastAsia="微软雅黑"/>
          <w:szCs w:val="21"/>
          <w:lang w:val="en-US" w:eastAsia="zh-CN"/>
        </w:rPr>
        <w:t>8-10日</w:t>
      </w:r>
      <w:r>
        <w:rPr>
          <w:rFonts w:hint="eastAsia" w:ascii="微软雅黑" w:hAnsi="微软雅黑" w:eastAsia="微软雅黑"/>
          <w:szCs w:val="21"/>
        </w:rPr>
        <w:t>在肯雅塔国际会展中心(KICC)</w:t>
      </w:r>
      <w:r>
        <w:rPr>
          <w:rFonts w:ascii="微软雅黑" w:hAnsi="微软雅黑" w:eastAsia="微软雅黑"/>
          <w:szCs w:val="21"/>
        </w:rPr>
        <w:t>举办，</w:t>
      </w:r>
      <w:r>
        <w:rPr>
          <w:rFonts w:hint="eastAsia" w:ascii="微软雅黑" w:hAnsi="微软雅黑" w:eastAsia="微软雅黑"/>
          <w:szCs w:val="21"/>
        </w:rPr>
        <w:t>随着行业的不断发展，更多的企业意识到肯尼亚</w:t>
      </w:r>
      <w:r>
        <w:rPr>
          <w:rFonts w:ascii="微软雅黑" w:hAnsi="微软雅黑" w:eastAsia="微软雅黑"/>
          <w:szCs w:val="21"/>
        </w:rPr>
        <w:t>市场</w:t>
      </w:r>
      <w:r>
        <w:rPr>
          <w:rFonts w:hint="eastAsia" w:ascii="微软雅黑" w:hAnsi="微软雅黑" w:eastAsia="微软雅黑"/>
          <w:szCs w:val="21"/>
        </w:rPr>
        <w:t>的重要性，展会将吸引</w:t>
      </w:r>
      <w:r>
        <w:rPr>
          <w:rFonts w:ascii="微软雅黑" w:hAnsi="微软雅黑" w:eastAsia="微软雅黑"/>
          <w:szCs w:val="21"/>
        </w:rPr>
        <w:t>更多</w:t>
      </w:r>
      <w:r>
        <w:rPr>
          <w:rFonts w:hint="eastAsia" w:ascii="微软雅黑" w:hAnsi="微软雅黑" w:eastAsia="微软雅黑"/>
          <w:szCs w:val="21"/>
        </w:rPr>
        <w:t>行业内的领军企业、创新型企业或具有独特竞争力的企业，预计</w:t>
      </w:r>
      <w:r>
        <w:rPr>
          <w:rFonts w:ascii="微软雅黑" w:hAnsi="微软雅黑" w:eastAsia="微软雅黑"/>
          <w:szCs w:val="21"/>
        </w:rPr>
        <w:t>会有</w:t>
      </w:r>
      <w:r>
        <w:rPr>
          <w:rFonts w:hint="eastAsia" w:ascii="微软雅黑" w:hAnsi="微软雅黑" w:eastAsia="微软雅黑"/>
          <w:szCs w:val="21"/>
        </w:rPr>
        <w:t>来自全球行业</w:t>
      </w:r>
      <w:r>
        <w:rPr>
          <w:rFonts w:ascii="微软雅黑" w:hAnsi="微软雅黑" w:eastAsia="微软雅黑"/>
          <w:szCs w:val="21"/>
        </w:rPr>
        <w:t>的560</w:t>
      </w:r>
      <w:r>
        <w:rPr>
          <w:rFonts w:hint="eastAsia" w:ascii="微软雅黑" w:hAnsi="微软雅黑" w:eastAsia="微软雅黑"/>
          <w:szCs w:val="21"/>
        </w:rPr>
        <w:t>多家</w:t>
      </w:r>
      <w:r>
        <w:rPr>
          <w:rFonts w:ascii="微软雅黑" w:hAnsi="微软雅黑" w:eastAsia="微软雅黑"/>
          <w:szCs w:val="21"/>
        </w:rPr>
        <w:t>展商一起亮相</w:t>
      </w:r>
      <w:r>
        <w:rPr>
          <w:rFonts w:hint="eastAsia" w:ascii="微软雅黑" w:hAnsi="微软雅黑" w:eastAsia="微软雅黑"/>
          <w:szCs w:val="21"/>
        </w:rPr>
        <w:t>第十届</w:t>
      </w:r>
      <w:r>
        <w:rPr>
          <w:rFonts w:ascii="微软雅黑" w:hAnsi="微软雅黑" w:eastAsia="微软雅黑"/>
          <w:szCs w:val="21"/>
        </w:rPr>
        <w:t>肯尼亚贸易周。</w:t>
      </w:r>
    </w:p>
    <w:tbl>
      <w:tblPr>
        <w:tblStyle w:val="10"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87"/>
        <w:gridCol w:w="2420"/>
        <w:gridCol w:w="2414"/>
        <w:gridCol w:w="2427"/>
      </w:tblGrid>
      <w:tr w14:paraId="0A4EC6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11" w:hRule="atLeast"/>
          <w:jc w:val="center"/>
        </w:trPr>
        <w:tc>
          <w:tcPr>
            <w:tcW w:w="1237" w:type="pct"/>
            <w:shd w:val="clear" w:color="auto" w:fill="4069DD"/>
            <w:vAlign w:val="center"/>
          </w:tcPr>
          <w:p w14:paraId="0844ED1F">
            <w:pPr>
              <w:spacing w:before="211" w:line="190" w:lineRule="auto"/>
              <w:ind w:left="68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Cs w:val="21"/>
              </w:rPr>
              <w:t>国际展商</w:t>
            </w:r>
          </w:p>
        </w:tc>
        <w:tc>
          <w:tcPr>
            <w:tcW w:w="1254" w:type="pct"/>
            <w:shd w:val="clear" w:color="auto" w:fill="4069DD"/>
            <w:vAlign w:val="center"/>
          </w:tcPr>
          <w:p w14:paraId="55A46D44">
            <w:pPr>
              <w:spacing w:before="210" w:line="189" w:lineRule="auto"/>
              <w:ind w:left="681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Cs w:val="21"/>
              </w:rPr>
              <w:t>参展人数</w:t>
            </w:r>
          </w:p>
        </w:tc>
        <w:tc>
          <w:tcPr>
            <w:tcW w:w="1251" w:type="pct"/>
            <w:shd w:val="clear" w:color="auto" w:fill="4069DD"/>
            <w:vAlign w:val="center"/>
          </w:tcPr>
          <w:p w14:paraId="2C85A754">
            <w:pPr>
              <w:spacing w:before="210" w:line="191" w:lineRule="auto"/>
              <w:ind w:left="678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6"/>
                <w:szCs w:val="21"/>
              </w:rPr>
              <w:t>辐射国家</w:t>
            </w:r>
          </w:p>
        </w:tc>
        <w:tc>
          <w:tcPr>
            <w:tcW w:w="1258" w:type="pct"/>
            <w:shd w:val="clear" w:color="auto" w:fill="4069DD"/>
            <w:vAlign w:val="center"/>
          </w:tcPr>
          <w:p w14:paraId="41668ECD">
            <w:pPr>
              <w:spacing w:before="211" w:line="189" w:lineRule="auto"/>
              <w:ind w:left="679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FFFF"/>
                <w:spacing w:val="7"/>
                <w:szCs w:val="21"/>
              </w:rPr>
              <w:t>B</w:t>
            </w:r>
            <w:r>
              <w:rPr>
                <w:rFonts w:ascii="微软雅黑" w:hAnsi="微软雅黑" w:eastAsia="微软雅黑" w:cs="微软雅黑"/>
                <w:color w:val="FFFFFF"/>
                <w:spacing w:val="7"/>
                <w:szCs w:val="21"/>
              </w:rPr>
              <w:t>2B</w:t>
            </w:r>
            <w:r>
              <w:rPr>
                <w:rFonts w:hint="eastAsia" w:ascii="微软雅黑" w:hAnsi="微软雅黑" w:eastAsia="微软雅黑" w:cs="微软雅黑"/>
                <w:color w:val="FFFFFF"/>
                <w:spacing w:val="7"/>
                <w:szCs w:val="21"/>
              </w:rPr>
              <w:t>会议</w:t>
            </w:r>
          </w:p>
        </w:tc>
      </w:tr>
      <w:tr w14:paraId="4C7BAF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  <w:jc w:val="center"/>
        </w:trPr>
        <w:tc>
          <w:tcPr>
            <w:tcW w:w="1237" w:type="pct"/>
            <w:vAlign w:val="center"/>
          </w:tcPr>
          <w:p w14:paraId="2B974AB0">
            <w:pPr>
              <w:spacing w:before="227" w:line="214" w:lineRule="auto"/>
              <w:ind w:left="82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pacing w:val="-8"/>
                <w:szCs w:val="21"/>
              </w:rPr>
              <w:t>560+</w:t>
            </w:r>
          </w:p>
        </w:tc>
        <w:tc>
          <w:tcPr>
            <w:tcW w:w="1254" w:type="pct"/>
            <w:vAlign w:val="center"/>
          </w:tcPr>
          <w:p w14:paraId="636982E9"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pacing w:val="-3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spacing w:val="-3"/>
                <w:szCs w:val="21"/>
              </w:rPr>
              <w:t>,</w:t>
            </w:r>
            <w:r>
              <w:rPr>
                <w:rFonts w:ascii="微软雅黑" w:hAnsi="微软雅黑" w:eastAsia="微软雅黑" w:cs="微软雅黑"/>
                <w:spacing w:val="-3"/>
                <w:szCs w:val="21"/>
              </w:rPr>
              <w:t>70</w:t>
            </w:r>
            <w:r>
              <w:rPr>
                <w:rFonts w:hint="eastAsia" w:ascii="微软雅黑" w:hAnsi="微软雅黑" w:eastAsia="微软雅黑" w:cs="微软雅黑"/>
                <w:spacing w:val="-3"/>
                <w:szCs w:val="21"/>
              </w:rPr>
              <w:t>0</w:t>
            </w:r>
            <w:r>
              <w:rPr>
                <w:rFonts w:ascii="微软雅黑" w:hAnsi="微软雅黑" w:eastAsia="微软雅黑" w:cs="微软雅黑"/>
                <w:spacing w:val="-3"/>
                <w:szCs w:val="21"/>
              </w:rPr>
              <w:t>+</w:t>
            </w:r>
          </w:p>
        </w:tc>
        <w:tc>
          <w:tcPr>
            <w:tcW w:w="1251" w:type="pct"/>
            <w:vAlign w:val="center"/>
          </w:tcPr>
          <w:p w14:paraId="658D6A85">
            <w:pPr>
              <w:spacing w:before="227" w:line="214" w:lineRule="auto"/>
              <w:ind w:left="933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pacing w:val="-10"/>
                <w:szCs w:val="21"/>
              </w:rPr>
              <w:t>12+</w:t>
            </w:r>
          </w:p>
        </w:tc>
        <w:tc>
          <w:tcPr>
            <w:tcW w:w="1258" w:type="pct"/>
            <w:vAlign w:val="center"/>
          </w:tcPr>
          <w:p w14:paraId="3F3C0046">
            <w:pPr>
              <w:spacing w:before="225" w:line="197" w:lineRule="auto"/>
              <w:jc w:val="center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3"/>
                <w:szCs w:val="21"/>
              </w:rPr>
              <w:t>1</w:t>
            </w:r>
            <w:r>
              <w:rPr>
                <w:rFonts w:ascii="微软雅黑" w:hAnsi="微软雅黑" w:eastAsia="微软雅黑" w:cs="微软雅黑"/>
                <w:spacing w:val="-3"/>
                <w:szCs w:val="21"/>
              </w:rPr>
              <w:t>,000+</w:t>
            </w:r>
          </w:p>
        </w:tc>
      </w:tr>
    </w:tbl>
    <w:p w14:paraId="682E2663">
      <w:pPr>
        <w:widowControl/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ascii="微软雅黑" w:hAnsi="微软雅黑" w:eastAsia="微软雅黑"/>
          <w:sz w:val="24"/>
        </w:rPr>
      </w:pPr>
    </w:p>
    <w:p w14:paraId="52473167">
      <w:pPr>
        <w:widowControl/>
        <w:kinsoku w:val="0"/>
        <w:autoSpaceDE w:val="0"/>
        <w:autoSpaceDN w:val="0"/>
        <w:adjustRightInd w:val="0"/>
        <w:spacing w:line="360" w:lineRule="auto"/>
        <w:textAlignment w:val="baseline"/>
        <w:rPr>
          <w:rFonts w:ascii="宋体" w:hAnsi="宋体" w:eastAsia="宋体" w:cs="宋体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市场机遇</w:t>
      </w:r>
    </w:p>
    <w:p w14:paraId="1DB4BEFA">
      <w:pPr>
        <w:widowControl/>
        <w:kinsoku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微软雅黑" w:hAnsi="微软雅黑" w:eastAsia="微软雅黑" w:cs="微软雅黑"/>
          <w:b/>
          <w:bCs/>
          <w:sz w:val="40"/>
          <w:szCs w:val="40"/>
        </w:rPr>
      </w:pPr>
      <w:r>
        <w:rPr>
          <w:rFonts w:ascii="宋体" w:hAnsi="宋体" w:eastAsia="宋体" w:cs="宋体"/>
          <w:szCs w:val="21"/>
        </w:rPr>
        <w:drawing>
          <wp:inline distT="0" distB="0" distL="0" distR="0">
            <wp:extent cx="5953760" cy="2447290"/>
            <wp:effectExtent l="0" t="0" r="8890" b="10160"/>
            <wp:docPr id="5" name="图片 4" descr="E:/李姗/MIE/公众号/展会利好/非洲/4肯尼亚贸易周/非洲汽配&amp;二手车/微信图片_20240514110532.jpg微信图片_2024051411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E:/李姗/MIE/公众号/展会利好/非洲/4肯尼亚贸易周/非洲汽配&amp;二手车/微信图片_20240514110532.jpg微信图片_20240514110532"/>
                    <pic:cNvPicPr>
                      <a:picLocks noChangeAspect="1"/>
                    </pic:cNvPicPr>
                  </pic:nvPicPr>
                  <pic:blipFill>
                    <a:blip r:embed="rId6"/>
                    <a:srcRect t="12148" b="12148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246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36E07">
      <w:pPr>
        <w:kinsoku w:val="0"/>
        <w:autoSpaceDE w:val="0"/>
        <w:autoSpaceDN w:val="0"/>
        <w:adjustRightIn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有数据显示，2021-2025年，非洲汽配市场规模年增长率达到10%，预计到2025年，非洲汽配市场规模将超过180亿美元。</w:t>
      </w:r>
    </w:p>
    <w:p w14:paraId="25FF29BB">
      <w:pPr>
        <w:kinsoku w:val="0"/>
        <w:autoSpaceDE w:val="0"/>
        <w:autoSpaceDN w:val="0"/>
        <w:adjustRightIn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肯尼亚为东非第一大汽车市场，汽车保有量超430万辆，2022年汽车销量约1.6万辆。肯尼亚经济近年来保持着相对稳定增长态势，中产阶级不断扩大，购车能力提高，汽车维修和更换零部件的需求也随之增加。而且相比于新车，肯尼亚消费者更倾向购买经济实惠的二手汽车，占市场份额的80%，进一步为汽配市场带来了增长机会。由于二手汽车通常需要进行维修和更换零部件，再结合肯尼亚路况不好，所以对摩托车、汽车零部件(含汽车紧固件、汽车连接件)和汽保工具需求很大。</w:t>
      </w:r>
    </w:p>
    <w:p w14:paraId="726AD442">
      <w:pPr>
        <w:kinsoku w:val="0"/>
        <w:autoSpaceDE w:val="0"/>
        <w:autoSpaceDN w:val="0"/>
        <w:adjustRightIn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肯尼亚的汽车零部件进口额近年来呈现出逐年增长的趋势。根据中国海关数据，2023年肯尼亚从中国进口的汽车零部件总额为290.183百万美元，相较于2022年的257.867百万美元，增长了12.57%。肯尼亚主要进口的汽车零部件包括发动机零件、变速器零件、制动系统零件、悬挂系统零件等。</w:t>
      </w:r>
    </w:p>
    <w:p w14:paraId="0F481432">
      <w:pPr>
        <w:kinsoku w:val="0"/>
        <w:autoSpaceDE w:val="0"/>
        <w:autoSpaceDN w:val="0"/>
        <w:adjustRightIn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此外，许多非洲客户喜欢自己动手维修和保养汽车，所以非洲汽配市场中，滤清器、发动机、减震弹簧等作为定期更换检修的汽车内部零配件也十分受欢迎。随着科学技术的发展与进步，用户对汽车内的装饰与汽车车载功能要求增多，由于气候原因，部分非洲国家消费者对车载冰箱、车载音箱等更为青睐。</w:t>
      </w:r>
    </w:p>
    <w:p w14:paraId="417E20F3">
      <w:pPr>
        <w:kinsoku w:val="0"/>
        <w:autoSpaceDE w:val="0"/>
        <w:autoSpaceDN w:val="0"/>
        <w:adjustRightIn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肯尼亚是东非地区的物流中心，国内和国际货物的运输需求不断增加。运输行业对货车和商用车辆的需求也在增加，从而带动了对相关汽配产品需求增长。</w:t>
      </w:r>
    </w:p>
    <w:p w14:paraId="656CAB6F">
      <w:pPr>
        <w:kinsoku w:val="0"/>
        <w:autoSpaceDE w:val="0"/>
        <w:autoSpaceDN w:val="0"/>
        <w:adjustRightIn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汽配行业具有竞争较小、毛利率较高、产品更新较慢和高度标准化等特点，出海销售前景十分可观。得益于中国强大的汽车工业，汽配出海产业链体量大、品类全，中国汽配产品以较低的价格、较高的品质、多样的产品种类等优势，深受非洲消费者喜爱。</w:t>
      </w:r>
    </w:p>
    <w:p w14:paraId="378948BD">
      <w:pPr>
        <w:kinsoku w:val="0"/>
        <w:autoSpaceDE w:val="0"/>
        <w:autoSpaceDN w:val="0"/>
        <w:adjustRightIn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default" w:ascii="微软雅黑" w:hAnsi="微软雅黑" w:eastAsia="微软雅黑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38100</wp:posOffset>
            </wp:positionV>
            <wp:extent cx="6110605" cy="2874010"/>
            <wp:effectExtent l="0" t="0" r="4445" b="2540"/>
            <wp:wrapTopAndBottom/>
            <wp:docPr id="1" name="图片 1" descr="微信图片_20241107154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071547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lang w:val="en-US" w:eastAsia="zh-CN"/>
        </w:rPr>
        <w:t>此外，非洲非公众对三轮车的接受程度正在不断提高。当地妇女们要承担60%的农活，但因为交通不便，每年她们花费在取水这项劳动上的时间，就高达400亿小时，去最近的诊所给家人看病得花好几个小时，她们的孩子们去上学也需要长途跋涉。由中国制造的电动三轮车，在送往非洲后，成为农户们的得力助手。</w:t>
      </w:r>
      <w:bookmarkStart w:id="0" w:name="_GoBack"/>
      <w:bookmarkEnd w:id="0"/>
    </w:p>
    <w:p w14:paraId="29CDE103">
      <w:pPr>
        <w:kinsoku w:val="0"/>
        <w:autoSpaceDE w:val="0"/>
        <w:autoSpaceDN w:val="0"/>
        <w:adjustRightIn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一方面，三轮车体积较为小巧，在城市交通中易于管理，且占用空间较小，有助于解决停车难题；另一方面，三轮车用途多样，除了城市交通，还可用于农业、货物和运输、旅行等，特别是在传统出租车或公共交通出行不便的地区，三轮车是一种普通民众负担得起且高效的交通方式，给当地人民的生活带来了极大的便利。</w:t>
      </w:r>
    </w:p>
    <w:p w14:paraId="48D89218">
      <w:pPr>
        <w:kinsoku w:val="0"/>
        <w:autoSpaceDE w:val="0"/>
        <w:autoSpaceDN w:val="0"/>
        <w:adjustRightIn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  <w:lang w:val="en-US" w:eastAsia="zh-CN"/>
        </w:rPr>
      </w:pPr>
    </w:p>
    <w:p w14:paraId="54E7EC7A">
      <w:pPr>
        <w:rPr>
          <w:rFonts w:ascii="微软雅黑" w:hAnsi="微软雅黑" w:eastAsia="微软雅黑" w:cs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参展范围</w:t>
      </w:r>
    </w:p>
    <w:p w14:paraId="3ECA8335">
      <w:pPr>
        <w:rPr>
          <w:rFonts w:ascii="微软雅黑" w:hAnsi="微软雅黑" w:eastAsia="微软雅黑" w:cs="宋体"/>
          <w:kern w:val="0"/>
          <w:sz w:val="43"/>
          <w:szCs w:val="43"/>
        </w:rPr>
      </w:pPr>
      <w:r>
        <w:rPr>
          <w:rFonts w:hint="eastAsia" w:ascii="微软雅黑" w:hAnsi="微软雅黑" w:eastAsia="微软雅黑" w:cs="宋体"/>
          <w:kern w:val="0"/>
          <w:sz w:val="43"/>
          <w:szCs w:val="43"/>
        </w:rPr>
        <w:drawing>
          <wp:inline distT="0" distB="0" distL="0" distR="0">
            <wp:extent cx="6208395" cy="2619375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-784" b="36231"/>
                    <a:stretch>
                      <a:fillRect/>
                    </a:stretch>
                  </pic:blipFill>
                  <pic:spPr>
                    <a:xfrm>
                      <a:off x="0" y="0"/>
                      <a:ext cx="6213370" cy="26212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5348F">
      <w:pPr>
        <w:kinsoku w:val="0"/>
        <w:autoSpaceDE w:val="0"/>
        <w:autoSpaceDN w:val="0"/>
        <w:adjustRightInd w:val="0"/>
        <w:spacing w:line="360" w:lineRule="exact"/>
        <w:textAlignment w:val="baseline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default" w:ascii="微软雅黑" w:hAnsi="微软雅黑" w:eastAsia="微软雅黑"/>
          <w:b/>
          <w:bCs/>
          <w:szCs w:val="21"/>
          <w:lang w:val="en-US" w:eastAsia="zh-CN"/>
        </w:rPr>
        <w:t>•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/>
          <w:b/>
          <w:bCs/>
          <w:szCs w:val="21"/>
          <w:lang w:val="en-US" w:eastAsia="zh-CN"/>
        </w:rPr>
        <w:t>部件及组件：</w:t>
      </w:r>
      <w:r>
        <w:rPr>
          <w:rFonts w:hint="default" w:ascii="微软雅黑" w:hAnsi="微软雅黑" w:eastAsia="微软雅黑"/>
          <w:szCs w:val="21"/>
          <w:lang w:val="en-US" w:eastAsia="zh-CN"/>
        </w:rPr>
        <w:t>驱动部分、底盘部分、车身部分、标准件、汽车内饰、可替代能源、充电用附件、再制造零部件；</w:t>
      </w:r>
    </w:p>
    <w:p w14:paraId="67DB1BB9">
      <w:pPr>
        <w:kinsoku w:val="0"/>
        <w:autoSpaceDE w:val="0"/>
        <w:autoSpaceDN w:val="0"/>
        <w:adjustRightInd w:val="0"/>
        <w:spacing w:line="360" w:lineRule="exact"/>
        <w:textAlignment w:val="baseline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default" w:ascii="微软雅黑" w:hAnsi="微软雅黑" w:eastAsia="微软雅黑"/>
          <w:b/>
          <w:bCs/>
          <w:szCs w:val="21"/>
          <w:lang w:val="en-US" w:eastAsia="zh-CN"/>
        </w:rPr>
        <w:t>•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/>
          <w:b/>
          <w:bCs/>
          <w:szCs w:val="21"/>
          <w:lang w:val="en-US" w:eastAsia="zh-CN"/>
        </w:rPr>
        <w:t>电子及系统：</w:t>
      </w:r>
      <w:r>
        <w:rPr>
          <w:rFonts w:hint="default" w:ascii="微软雅黑" w:hAnsi="微软雅黑" w:eastAsia="微软雅黑"/>
          <w:szCs w:val="21"/>
          <w:lang w:val="en-US" w:eastAsia="zh-CN"/>
        </w:rPr>
        <w:t>电机电器、车辆照明、供电系统、智能驾驶系统/车辆安全系统、舒适性电子产品；</w:t>
      </w:r>
    </w:p>
    <w:p w14:paraId="1E317950">
      <w:pPr>
        <w:kinsoku w:val="0"/>
        <w:autoSpaceDE w:val="0"/>
        <w:autoSpaceDN w:val="0"/>
        <w:adjustRightInd w:val="0"/>
        <w:spacing w:line="360" w:lineRule="exact"/>
        <w:textAlignment w:val="baseline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default" w:ascii="微软雅黑" w:hAnsi="微软雅黑" w:eastAsia="微软雅黑"/>
          <w:b/>
          <w:bCs/>
          <w:szCs w:val="21"/>
          <w:lang w:val="en-US" w:eastAsia="zh-CN"/>
        </w:rPr>
        <w:t>•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/>
          <w:b/>
          <w:bCs/>
          <w:szCs w:val="21"/>
          <w:lang w:val="en-US" w:eastAsia="zh-CN"/>
        </w:rPr>
        <w:t>用品及改装：</w:t>
      </w:r>
      <w:r>
        <w:rPr>
          <w:rFonts w:hint="default" w:ascii="微软雅黑" w:hAnsi="微软雅黑" w:eastAsia="微软雅黑"/>
          <w:szCs w:val="21"/>
          <w:lang w:val="en-US" w:eastAsia="zh-CN"/>
        </w:rPr>
        <w:t>装饰装潢、随车用品、订制改装、内外饰改装、通讯娱乐、特种车辆及装备翻新、改装用轮胎、轮辋、轮毂、胎压监测系统、拖车、小型多功能拖车及其配件用品；</w:t>
      </w:r>
    </w:p>
    <w:p w14:paraId="73188A2F">
      <w:pPr>
        <w:kinsoku w:val="0"/>
        <w:autoSpaceDE w:val="0"/>
        <w:autoSpaceDN w:val="0"/>
        <w:adjustRightInd w:val="0"/>
        <w:spacing w:line="360" w:lineRule="exact"/>
        <w:textAlignment w:val="baseline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default" w:ascii="微软雅黑" w:hAnsi="微软雅黑" w:eastAsia="微软雅黑"/>
          <w:b/>
          <w:bCs/>
          <w:szCs w:val="21"/>
          <w:lang w:val="en-US" w:eastAsia="zh-CN"/>
        </w:rPr>
        <w:t>•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/>
          <w:b/>
          <w:bCs/>
          <w:szCs w:val="21"/>
          <w:lang w:val="en-US" w:eastAsia="zh-CN"/>
        </w:rPr>
        <w:t>修理及维护：</w:t>
      </w:r>
      <w:r>
        <w:rPr>
          <w:rFonts w:hint="default" w:ascii="微软雅黑" w:hAnsi="微软雅黑" w:eastAsia="微软雅黑"/>
          <w:szCs w:val="21"/>
          <w:lang w:val="en-US" w:eastAsia="zh-CN"/>
        </w:rPr>
        <w:t>维修站设备及工具、车身修补设备、喷漆与防腐保护、车身维护及修理、拖车服务、事故援助、流动维修站、废物处理与循环利用、维修站及分销点设备与管理、润滑油及润滑剂；</w:t>
      </w:r>
    </w:p>
    <w:p w14:paraId="19285CB8">
      <w:pPr>
        <w:kinsoku w:val="0"/>
        <w:autoSpaceDE w:val="0"/>
        <w:autoSpaceDN w:val="0"/>
        <w:adjustRightInd w:val="0"/>
        <w:spacing w:line="360" w:lineRule="exact"/>
        <w:textAlignment w:val="baseline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default" w:ascii="微软雅黑" w:hAnsi="微软雅黑" w:eastAsia="微软雅黑"/>
          <w:b/>
          <w:bCs/>
          <w:szCs w:val="21"/>
          <w:lang w:val="en-US" w:eastAsia="zh-CN"/>
        </w:rPr>
        <w:t>•</w:t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 xml:space="preserve"> </w:t>
      </w:r>
      <w:r>
        <w:rPr>
          <w:rFonts w:hint="default" w:ascii="微软雅黑" w:hAnsi="微软雅黑" w:eastAsia="微软雅黑"/>
          <w:b/>
          <w:bCs/>
          <w:szCs w:val="21"/>
          <w:lang w:val="en-US" w:eastAsia="zh-CN"/>
        </w:rPr>
        <w:t>汽车清洗、保养及翻新：</w:t>
      </w:r>
      <w:r>
        <w:rPr>
          <w:rFonts w:hint="default" w:ascii="微软雅黑" w:hAnsi="微软雅黑" w:eastAsia="微软雅黑"/>
          <w:szCs w:val="21"/>
          <w:lang w:val="en-US" w:eastAsia="zh-CN"/>
        </w:rPr>
        <w:t>汽车清洗、汽车养护、车辆翻新、充电设施及加油站；</w:t>
      </w:r>
    </w:p>
    <w:p w14:paraId="0B77AFFF">
      <w:pPr>
        <w:widowControl/>
        <w:tabs>
          <w:tab w:val="left" w:pos="420"/>
        </w:tabs>
        <w:kinsoku w:val="0"/>
        <w:autoSpaceDE w:val="0"/>
        <w:autoSpaceDN w:val="0"/>
        <w:adjustRightInd w:val="0"/>
        <w:spacing w:line="360" w:lineRule="exact"/>
        <w:textAlignment w:val="baseline"/>
        <w:rPr>
          <w:rFonts w:ascii="微软雅黑" w:hAnsi="微软雅黑" w:eastAsia="微软雅黑"/>
          <w:b/>
          <w:bCs/>
          <w:color w:val="000000"/>
          <w:szCs w:val="21"/>
          <w:shd w:val="clear" w:color="auto" w:fill="FFFFFF"/>
        </w:rPr>
      </w:pPr>
    </w:p>
    <w:p w14:paraId="3866C4D0">
      <w:pPr>
        <w:widowControl/>
        <w:tabs>
          <w:tab w:val="left" w:pos="420"/>
        </w:tabs>
        <w:kinsoku w:val="0"/>
        <w:autoSpaceDE w:val="0"/>
        <w:autoSpaceDN w:val="0"/>
        <w:adjustRightInd w:val="0"/>
        <w:spacing w:line="360" w:lineRule="exact"/>
        <w:textAlignment w:val="baseline"/>
        <w:rPr>
          <w:rFonts w:ascii="微软雅黑" w:hAnsi="微软雅黑" w:eastAsia="微软雅黑"/>
          <w:b/>
          <w:bCs/>
          <w:color w:val="000000"/>
          <w:szCs w:val="21"/>
          <w:shd w:val="clear" w:color="auto" w:fill="FFFFFF"/>
        </w:rPr>
      </w:pPr>
    </w:p>
    <w:p w14:paraId="0D436C73">
      <w:pPr>
        <w:kinsoku w:val="0"/>
        <w:autoSpaceDE w:val="0"/>
        <w:autoSpaceDN w:val="0"/>
        <w:adjustRightInd w:val="0"/>
        <w:spacing w:line="360" w:lineRule="exact"/>
        <w:ind w:firstLine="420" w:firstLineChars="200"/>
        <w:textAlignment w:val="baseline"/>
        <w:rPr>
          <w:rFonts w:hint="eastAsia" w:ascii="微软雅黑" w:hAnsi="微软雅黑" w:eastAsia="微软雅黑"/>
          <w:szCs w:val="21"/>
          <w:lang w:val="en-US" w:eastAsia="zh-CN"/>
        </w:rPr>
      </w:pPr>
    </w:p>
    <w:p w14:paraId="1ECD6CFE">
      <w:pPr>
        <w:widowControl/>
        <w:tabs>
          <w:tab w:val="left" w:pos="420"/>
        </w:tabs>
        <w:kinsoku w:val="0"/>
        <w:autoSpaceDE w:val="0"/>
        <w:autoSpaceDN w:val="0"/>
        <w:adjustRightInd w:val="0"/>
        <w:spacing w:line="360" w:lineRule="exact"/>
        <w:textAlignment w:val="baseline"/>
        <w:rPr>
          <w:rFonts w:ascii="微软雅黑" w:hAnsi="微软雅黑" w:eastAsia="微软雅黑"/>
          <w:b/>
          <w:bCs/>
          <w:color w:val="000000"/>
          <w:szCs w:val="21"/>
          <w:shd w:val="clear" w:color="auto" w:fill="FFFFFF"/>
        </w:rPr>
      </w:pPr>
    </w:p>
    <w:sectPr>
      <w:type w:val="continuous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wZTUyNjZlMWNiZTRhYWQ0OWNkYjI5YjM0NGI4NGUifQ=="/>
  </w:docVars>
  <w:rsids>
    <w:rsidRoot w:val="001F6BF5"/>
    <w:rsid w:val="000762B7"/>
    <w:rsid w:val="000C2C44"/>
    <w:rsid w:val="000E2595"/>
    <w:rsid w:val="00117AF9"/>
    <w:rsid w:val="0013365A"/>
    <w:rsid w:val="001456E6"/>
    <w:rsid w:val="00151250"/>
    <w:rsid w:val="00156C2E"/>
    <w:rsid w:val="00160885"/>
    <w:rsid w:val="0019276A"/>
    <w:rsid w:val="001971C3"/>
    <w:rsid w:val="001A20DB"/>
    <w:rsid w:val="001A32BE"/>
    <w:rsid w:val="001D1554"/>
    <w:rsid w:val="001E5EF8"/>
    <w:rsid w:val="001F6BF5"/>
    <w:rsid w:val="00216158"/>
    <w:rsid w:val="00231038"/>
    <w:rsid w:val="00246421"/>
    <w:rsid w:val="00252079"/>
    <w:rsid w:val="0027683B"/>
    <w:rsid w:val="00294CC7"/>
    <w:rsid w:val="002A1267"/>
    <w:rsid w:val="002D5E1D"/>
    <w:rsid w:val="002E368C"/>
    <w:rsid w:val="002F1554"/>
    <w:rsid w:val="0030690E"/>
    <w:rsid w:val="00336EEA"/>
    <w:rsid w:val="00344DAB"/>
    <w:rsid w:val="003454CF"/>
    <w:rsid w:val="003822A3"/>
    <w:rsid w:val="003B0BEB"/>
    <w:rsid w:val="003B6EA5"/>
    <w:rsid w:val="003C3988"/>
    <w:rsid w:val="003E00D2"/>
    <w:rsid w:val="003F48E7"/>
    <w:rsid w:val="003F51B0"/>
    <w:rsid w:val="00402281"/>
    <w:rsid w:val="00423C6D"/>
    <w:rsid w:val="00425440"/>
    <w:rsid w:val="004405F0"/>
    <w:rsid w:val="00457462"/>
    <w:rsid w:val="004771DA"/>
    <w:rsid w:val="00483FD1"/>
    <w:rsid w:val="004B4D59"/>
    <w:rsid w:val="004C75E8"/>
    <w:rsid w:val="004D247A"/>
    <w:rsid w:val="004F2B98"/>
    <w:rsid w:val="005008D3"/>
    <w:rsid w:val="00501F35"/>
    <w:rsid w:val="005034E8"/>
    <w:rsid w:val="0051659E"/>
    <w:rsid w:val="005430BB"/>
    <w:rsid w:val="00552E94"/>
    <w:rsid w:val="00553DC5"/>
    <w:rsid w:val="00567F68"/>
    <w:rsid w:val="005B1E98"/>
    <w:rsid w:val="005E55B2"/>
    <w:rsid w:val="005F7B56"/>
    <w:rsid w:val="00602921"/>
    <w:rsid w:val="00602D86"/>
    <w:rsid w:val="00607E21"/>
    <w:rsid w:val="00634549"/>
    <w:rsid w:val="006416E3"/>
    <w:rsid w:val="0067171E"/>
    <w:rsid w:val="00677DEF"/>
    <w:rsid w:val="006809E7"/>
    <w:rsid w:val="00685DB8"/>
    <w:rsid w:val="006B1859"/>
    <w:rsid w:val="006C2201"/>
    <w:rsid w:val="006F7741"/>
    <w:rsid w:val="00703412"/>
    <w:rsid w:val="00705F5B"/>
    <w:rsid w:val="00706CD6"/>
    <w:rsid w:val="00711BEB"/>
    <w:rsid w:val="00720D10"/>
    <w:rsid w:val="007306A3"/>
    <w:rsid w:val="00740439"/>
    <w:rsid w:val="00771494"/>
    <w:rsid w:val="00780CC2"/>
    <w:rsid w:val="007D2B63"/>
    <w:rsid w:val="007D6431"/>
    <w:rsid w:val="007E5C82"/>
    <w:rsid w:val="00822ACC"/>
    <w:rsid w:val="008606E7"/>
    <w:rsid w:val="00874574"/>
    <w:rsid w:val="00881F13"/>
    <w:rsid w:val="008A212E"/>
    <w:rsid w:val="008A3E54"/>
    <w:rsid w:val="008B24EF"/>
    <w:rsid w:val="008B6E42"/>
    <w:rsid w:val="00902348"/>
    <w:rsid w:val="009361CA"/>
    <w:rsid w:val="0094240F"/>
    <w:rsid w:val="00953365"/>
    <w:rsid w:val="00957711"/>
    <w:rsid w:val="00996745"/>
    <w:rsid w:val="009A7A2A"/>
    <w:rsid w:val="009D1B1A"/>
    <w:rsid w:val="009D4F31"/>
    <w:rsid w:val="009F437F"/>
    <w:rsid w:val="00A60361"/>
    <w:rsid w:val="00A62108"/>
    <w:rsid w:val="00A638F4"/>
    <w:rsid w:val="00A9782F"/>
    <w:rsid w:val="00AB4348"/>
    <w:rsid w:val="00AC3C06"/>
    <w:rsid w:val="00AC4C97"/>
    <w:rsid w:val="00AD5A63"/>
    <w:rsid w:val="00AE6D03"/>
    <w:rsid w:val="00B036E1"/>
    <w:rsid w:val="00B20F76"/>
    <w:rsid w:val="00B41C6B"/>
    <w:rsid w:val="00B96FCA"/>
    <w:rsid w:val="00BB6D7A"/>
    <w:rsid w:val="00BC16E2"/>
    <w:rsid w:val="00BE22D7"/>
    <w:rsid w:val="00C010FA"/>
    <w:rsid w:val="00C0398D"/>
    <w:rsid w:val="00C278A5"/>
    <w:rsid w:val="00C436D3"/>
    <w:rsid w:val="00C957E6"/>
    <w:rsid w:val="00D011DA"/>
    <w:rsid w:val="00D128B4"/>
    <w:rsid w:val="00D51C53"/>
    <w:rsid w:val="00D876EB"/>
    <w:rsid w:val="00D95316"/>
    <w:rsid w:val="00DA37DB"/>
    <w:rsid w:val="00DC2338"/>
    <w:rsid w:val="00E074E8"/>
    <w:rsid w:val="00E25BC6"/>
    <w:rsid w:val="00E85629"/>
    <w:rsid w:val="00EB2F5A"/>
    <w:rsid w:val="00EB5A64"/>
    <w:rsid w:val="00EB5D55"/>
    <w:rsid w:val="00EC7B7C"/>
    <w:rsid w:val="00ED031A"/>
    <w:rsid w:val="00EE09F6"/>
    <w:rsid w:val="00EF5D7B"/>
    <w:rsid w:val="00F136A3"/>
    <w:rsid w:val="00F42678"/>
    <w:rsid w:val="00F53E66"/>
    <w:rsid w:val="00F632ED"/>
    <w:rsid w:val="00FA1014"/>
    <w:rsid w:val="00FB2B9E"/>
    <w:rsid w:val="00FD3350"/>
    <w:rsid w:val="041F5699"/>
    <w:rsid w:val="06A67E6B"/>
    <w:rsid w:val="080407C4"/>
    <w:rsid w:val="09EF5447"/>
    <w:rsid w:val="0ED1413C"/>
    <w:rsid w:val="132C67E2"/>
    <w:rsid w:val="140F2E4A"/>
    <w:rsid w:val="167F2A48"/>
    <w:rsid w:val="1A3C5ABC"/>
    <w:rsid w:val="1B7D2CDE"/>
    <w:rsid w:val="1BE31CC3"/>
    <w:rsid w:val="210A42D5"/>
    <w:rsid w:val="23770662"/>
    <w:rsid w:val="297849F8"/>
    <w:rsid w:val="2FC33BD3"/>
    <w:rsid w:val="2FF01822"/>
    <w:rsid w:val="31AB3BD5"/>
    <w:rsid w:val="324837DA"/>
    <w:rsid w:val="33780B7C"/>
    <w:rsid w:val="37A14BDC"/>
    <w:rsid w:val="37EB6767"/>
    <w:rsid w:val="39DE5BC6"/>
    <w:rsid w:val="3B652F0D"/>
    <w:rsid w:val="3E832EAB"/>
    <w:rsid w:val="41D148C1"/>
    <w:rsid w:val="42832E2D"/>
    <w:rsid w:val="42F02AD9"/>
    <w:rsid w:val="462E5DF2"/>
    <w:rsid w:val="483462A4"/>
    <w:rsid w:val="495C2C76"/>
    <w:rsid w:val="49B36BD3"/>
    <w:rsid w:val="4A1F71D6"/>
    <w:rsid w:val="4DA14D78"/>
    <w:rsid w:val="4F371F35"/>
    <w:rsid w:val="5100482F"/>
    <w:rsid w:val="518C1A29"/>
    <w:rsid w:val="519A7A59"/>
    <w:rsid w:val="51B30DAC"/>
    <w:rsid w:val="56772E9D"/>
    <w:rsid w:val="59484FC5"/>
    <w:rsid w:val="5A9B4805"/>
    <w:rsid w:val="5B943451"/>
    <w:rsid w:val="5C2A09B2"/>
    <w:rsid w:val="5DA327CA"/>
    <w:rsid w:val="5E8B1409"/>
    <w:rsid w:val="5ECB022A"/>
    <w:rsid w:val="63334E9C"/>
    <w:rsid w:val="64846B00"/>
    <w:rsid w:val="6487730D"/>
    <w:rsid w:val="66EB6610"/>
    <w:rsid w:val="67AD0415"/>
    <w:rsid w:val="69B17AA6"/>
    <w:rsid w:val="69BE2348"/>
    <w:rsid w:val="6A0961EA"/>
    <w:rsid w:val="72080C08"/>
    <w:rsid w:val="741D7EEB"/>
    <w:rsid w:val="77BB3B58"/>
    <w:rsid w:val="78B95140"/>
    <w:rsid w:val="78E47A8C"/>
    <w:rsid w:val="7AE70D64"/>
    <w:rsid w:val="7B0630C7"/>
    <w:rsid w:val="7BBE2776"/>
    <w:rsid w:val="7BDB1CFE"/>
    <w:rsid w:val="7BDF4EBD"/>
    <w:rsid w:val="7C582096"/>
    <w:rsid w:val="7DF7741D"/>
    <w:rsid w:val="7ED71E7C"/>
    <w:rsid w:val="7F84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Cs w:val="21"/>
      <w:lang w:eastAsia="en-US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0"/>
    <w:rPr>
      <w:i/>
    </w:rPr>
  </w:style>
  <w:style w:type="table" w:customStyle="1" w:styleId="10">
    <w:name w:val="Table Normal1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B5E82-4003-4819-AF37-3F4B874396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1571</Words>
  <Characters>1710</Characters>
  <Lines>14</Lines>
  <Paragraphs>3</Paragraphs>
  <TotalTime>4</TotalTime>
  <ScaleCrop>false</ScaleCrop>
  <LinksUpToDate>false</LinksUpToDate>
  <CharactersWithSpaces>1724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2024-10-14T05:15:00Z</dcterms:created>
  <dc:creator>10219</dc:creator>
  <cp:lastModifiedBy>WPS_1699857115</cp:lastModifiedBy>
  <dcterms:modified xsi:type="dcterms:W3CDTF">2024-11-07T07:49:03Z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056A493725F54D3296F274D6DBE3699A_13</vt:lpwstr>
  </property>
</Properties>
</file>