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426835" cy="2856865"/>
            <wp:effectExtent l="0" t="0" r="12065" b="635"/>
            <wp:docPr id="4" name="图片 4" descr="微信图片_2023092714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9271418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26835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微软雅黑" w:hAnsi="微软雅黑" w:eastAsia="微软雅黑" w:cs="微软雅黑"/>
          <w:b/>
          <w:bCs/>
          <w:kern w:val="0"/>
          <w:sz w:val="68"/>
          <w:szCs w:val="68"/>
          <w:lang w:val="en-US" w:eastAsia="zh-CN"/>
        </w:rPr>
        <w:t>2024年莫桑比克天然气及能源展</w:t>
      </w:r>
    </w:p>
    <w:p>
      <w:pPr>
        <w:jc w:val="center"/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r>
        <w:drawing>
          <wp:inline distT="0" distB="0" distL="0" distR="0">
            <wp:extent cx="2241550" cy="662305"/>
            <wp:effectExtent l="0" t="0" r="6350" b="4445"/>
            <wp:docPr id="1" name="图片 1" descr="E:\李姗\MIE\展会logo\莫桑比克天然气及能源.png莫桑比克天然气及能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李姗\MIE\展会logo\莫桑比克天然气及能源.png莫桑比克天然气及能源"/>
                    <pic:cNvPicPr>
                      <a:picLocks noChangeAspect="1"/>
                    </pic:cNvPicPr>
                  </pic:nvPicPr>
                  <pic:blipFill>
                    <a:blip r:embed="rId5"/>
                    <a:srcRect t="14877" b="8485"/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展会介绍</w:t>
      </w:r>
    </w:p>
    <w:p>
      <w:pPr>
        <w:pStyle w:val="2"/>
        <w:spacing w:before="159" w:line="187" w:lineRule="auto"/>
        <w:ind w:left="169"/>
        <w:jc w:val="left"/>
        <w:rPr>
          <w:b/>
          <w:bCs/>
          <w:color w:val="050E17"/>
          <w:spacing w:val="9"/>
          <w:sz w:val="28"/>
          <w:szCs w:val="28"/>
        </w:rPr>
      </w:pPr>
      <w:r>
        <w:rPr>
          <w:rFonts w:hint="eastAsia"/>
          <w:b/>
          <w:bCs/>
          <w:color w:val="050E17"/>
          <w:spacing w:val="5"/>
          <w:sz w:val="28"/>
          <w:szCs w:val="28"/>
        </w:rPr>
        <w:t>●</w:t>
      </w:r>
      <w:r>
        <w:rPr>
          <w:rFonts w:hint="eastAsia"/>
          <w:b/>
          <w:bCs/>
          <w:color w:val="050E17"/>
          <w:spacing w:val="5"/>
          <w:sz w:val="28"/>
          <w:szCs w:val="28"/>
          <w:lang w:val="en-US" w:eastAsia="zh-CN"/>
        </w:rPr>
        <w:t xml:space="preserve"> </w:t>
      </w:r>
      <w:r>
        <w:rPr>
          <w:b/>
          <w:bCs/>
          <w:color w:val="050E17"/>
          <w:spacing w:val="5"/>
          <w:sz w:val="28"/>
          <w:szCs w:val="28"/>
        </w:rPr>
        <w:t>展会时间</w:t>
      </w:r>
      <w:r>
        <w:rPr>
          <w:rFonts w:hint="eastAsia"/>
          <w:b/>
          <w:bCs/>
          <w:color w:val="050E17"/>
          <w:spacing w:val="5"/>
          <w:sz w:val="28"/>
          <w:szCs w:val="28"/>
          <w:lang w:eastAsia="zh-CN"/>
        </w:rPr>
        <w:t>：</w:t>
      </w:r>
      <w:r>
        <w:rPr>
          <w:b/>
          <w:bCs/>
          <w:color w:val="050E17"/>
          <w:spacing w:val="5"/>
          <w:sz w:val="28"/>
          <w:szCs w:val="28"/>
        </w:rPr>
        <w:t>2024年</w:t>
      </w:r>
      <w:r>
        <w:rPr>
          <w:rFonts w:hint="eastAsia"/>
          <w:b/>
          <w:bCs/>
          <w:color w:val="050E17"/>
          <w:spacing w:val="5"/>
          <w:sz w:val="28"/>
          <w:szCs w:val="28"/>
          <w:lang w:val="en-US" w:eastAsia="zh-CN"/>
        </w:rPr>
        <w:t xml:space="preserve">11月20-21日     </w:t>
      </w:r>
      <w:r>
        <w:rPr>
          <w:b/>
          <w:bCs/>
          <w:color w:val="050E17"/>
          <w:spacing w:val="9"/>
          <w:sz w:val="28"/>
          <w:szCs w:val="28"/>
        </w:rPr>
        <w:t>展会地点</w:t>
      </w:r>
      <w:r>
        <w:rPr>
          <w:rFonts w:hint="eastAsia"/>
          <w:b/>
          <w:bCs/>
          <w:color w:val="050E17"/>
          <w:spacing w:val="9"/>
          <w:sz w:val="28"/>
          <w:szCs w:val="28"/>
          <w:lang w:eastAsia="zh-CN"/>
        </w:rPr>
        <w:t>：</w:t>
      </w:r>
      <w:r>
        <w:rPr>
          <w:rFonts w:ascii="微软雅黑" w:hAnsi="微软雅黑" w:eastAsia="微软雅黑"/>
          <w:b/>
          <w:sz w:val="28"/>
          <w:szCs w:val="28"/>
        </w:rPr>
        <w:t>马普托-</w:t>
      </w:r>
      <w:r>
        <w:rPr>
          <w:rFonts w:hint="eastAsia" w:ascii="微软雅黑" w:hAnsi="微软雅黑" w:eastAsia="微软雅黑"/>
          <w:b/>
          <w:sz w:val="28"/>
          <w:szCs w:val="28"/>
        </w:rPr>
        <w:t>希萨诺会议中心</w:t>
      </w:r>
    </w:p>
    <w:p>
      <w:pPr>
        <w:pStyle w:val="2"/>
        <w:spacing w:before="96" w:line="188" w:lineRule="auto"/>
        <w:ind w:left="169"/>
        <w:jc w:val="left"/>
        <w:rPr>
          <w:rFonts w:hint="default"/>
          <w:b/>
          <w:bCs/>
          <w:color w:val="050E17"/>
          <w:spacing w:val="9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50E17"/>
          <w:spacing w:val="5"/>
          <w:sz w:val="28"/>
          <w:szCs w:val="28"/>
        </w:rPr>
        <w:t>●</w:t>
      </w:r>
      <w:r>
        <w:rPr>
          <w:rFonts w:hint="eastAsia"/>
          <w:b/>
          <w:bCs/>
          <w:color w:val="050E17"/>
          <w:spacing w:val="5"/>
          <w:sz w:val="28"/>
          <w:szCs w:val="28"/>
          <w:lang w:val="en-US" w:eastAsia="zh-CN"/>
        </w:rPr>
        <w:t xml:space="preserve"> </w:t>
      </w:r>
      <w:r>
        <w:rPr>
          <w:b/>
          <w:bCs/>
          <w:color w:val="050E17"/>
          <w:spacing w:val="5"/>
          <w:sz w:val="28"/>
          <w:szCs w:val="28"/>
        </w:rPr>
        <w:t>主办单位</w:t>
      </w:r>
      <w:r>
        <w:rPr>
          <w:rFonts w:hint="eastAsia"/>
          <w:b/>
          <w:bCs/>
          <w:color w:val="050E17"/>
          <w:spacing w:val="5"/>
          <w:sz w:val="28"/>
          <w:szCs w:val="28"/>
          <w:lang w:eastAsia="zh-CN"/>
        </w:rPr>
        <w:t>：</w:t>
      </w:r>
      <w:r>
        <w:rPr>
          <w:b/>
          <w:bCs/>
          <w:color w:val="050E17"/>
          <w:spacing w:val="5"/>
          <w:sz w:val="28"/>
          <w:szCs w:val="28"/>
        </w:rPr>
        <w:t>DMG</w:t>
      </w:r>
      <w:r>
        <w:rPr>
          <w:rFonts w:hint="eastAsia"/>
          <w:b/>
          <w:bCs/>
          <w:color w:val="050E17"/>
          <w:spacing w:val="5"/>
          <w:sz w:val="28"/>
          <w:szCs w:val="28"/>
          <w:lang w:val="en-US" w:eastAsia="zh-CN"/>
        </w:rPr>
        <w:t xml:space="preserve">                   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 xml:space="preserve">  举办届数：第九届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position w:val="-61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331470</wp:posOffset>
            </wp:positionV>
            <wp:extent cx="6416675" cy="2728595"/>
            <wp:effectExtent l="0" t="0" r="3175" b="14605"/>
            <wp:wrapTopAndBottom/>
            <wp:docPr id="6" name="IM 6" descr="E:\李姗\MIE\招展资料—改后\2024.9\9. 莫桑比克天然气及能源展\QQ截图20231017142851.pngQQ截图202310171428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 descr="E:\李姗\MIE\招展资料—改后\2024.9\9. 莫桑比克天然气及能源展\QQ截图20231017142851.pngQQ截图20231017142851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1667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莫桑比克天然气及能源展将能源、采矿和碳氢化合物行业的原材料加工商、能源企业、服务提供商和国际买家聚集在一起。共同交流探讨能源行业未来走向与市场趋势并促进合作。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上一届2023年莫桑比克天然气及能源展吸引了超过20个国家的50余家展商参展，并吸引了30余家赞助商进行赞助，展会期间莫政府、国际油气公司等行业领袖等参会，包括莫能矿部长在内的16人在会上发言。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2024年第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九</w:t>
      </w:r>
      <w:r>
        <w:rPr>
          <w:rFonts w:hint="eastAsia" w:ascii="微软雅黑" w:hAnsi="微软雅黑" w:eastAsia="微软雅黑"/>
          <w:sz w:val="28"/>
          <w:szCs w:val="28"/>
        </w:rPr>
        <w:t>届莫桑比克天然气及能源展将于2024年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11月20-21日</w:t>
      </w:r>
      <w:r>
        <w:rPr>
          <w:rFonts w:hint="eastAsia" w:ascii="微软雅黑" w:hAnsi="微软雅黑" w:eastAsia="微软雅黑"/>
          <w:sz w:val="28"/>
          <w:szCs w:val="28"/>
        </w:rPr>
        <w:t>举办，展出将吸引来自超过20个国家的50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0</w:t>
      </w:r>
      <w:r>
        <w:rPr>
          <w:rFonts w:hint="eastAsia" w:ascii="微软雅黑" w:hAnsi="微软雅黑" w:eastAsia="微软雅黑"/>
          <w:sz w:val="28"/>
          <w:szCs w:val="28"/>
        </w:rPr>
        <w:t>余家展商参展，展会将带来50余名演讲者共同探讨非洲能源行业走向，参会人数超过520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0</w:t>
      </w:r>
      <w:r>
        <w:rPr>
          <w:rFonts w:hint="eastAsia" w:ascii="微软雅黑" w:hAnsi="微软雅黑" w:eastAsia="微软雅黑"/>
          <w:sz w:val="28"/>
          <w:szCs w:val="28"/>
        </w:rPr>
        <w:t>人。</w:t>
      </w:r>
    </w:p>
    <w:tbl>
      <w:tblPr>
        <w:tblStyle w:val="6"/>
        <w:tblpPr w:leftFromText="180" w:rightFromText="180" w:vertAnchor="text" w:horzAnchor="page" w:tblpXSpec="center" w:tblpY="137"/>
        <w:tblOverlap w:val="never"/>
        <w:tblW w:w="968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12"/>
        <w:gridCol w:w="2432"/>
        <w:gridCol w:w="2419"/>
        <w:gridCol w:w="242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1" w:hRule="atLeast"/>
          <w:jc w:val="center"/>
        </w:trPr>
        <w:tc>
          <w:tcPr>
            <w:tcW w:w="2412" w:type="dxa"/>
            <w:shd w:val="clear" w:color="auto" w:fill="4069DD"/>
            <w:vAlign w:val="top"/>
          </w:tcPr>
          <w:p>
            <w:pPr>
              <w:spacing w:before="211" w:line="190" w:lineRule="auto"/>
              <w:ind w:left="685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3"/>
                <w:sz w:val="28"/>
                <w:szCs w:val="28"/>
              </w:rPr>
              <w:t>国际展商</w:t>
            </w:r>
          </w:p>
        </w:tc>
        <w:tc>
          <w:tcPr>
            <w:tcW w:w="2432" w:type="dxa"/>
            <w:shd w:val="clear" w:color="auto" w:fill="4069DD"/>
            <w:vAlign w:val="top"/>
          </w:tcPr>
          <w:p>
            <w:pPr>
              <w:spacing w:before="210" w:line="189" w:lineRule="auto"/>
              <w:ind w:left="681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6"/>
                <w:sz w:val="28"/>
                <w:szCs w:val="28"/>
              </w:rPr>
              <w:t>参展人数</w:t>
            </w:r>
          </w:p>
        </w:tc>
        <w:tc>
          <w:tcPr>
            <w:tcW w:w="2419" w:type="dxa"/>
            <w:shd w:val="clear" w:color="auto" w:fill="4069DD"/>
            <w:vAlign w:val="top"/>
          </w:tcPr>
          <w:p>
            <w:pPr>
              <w:spacing w:before="210" w:line="191" w:lineRule="auto"/>
              <w:ind w:left="678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6"/>
                <w:sz w:val="28"/>
                <w:szCs w:val="28"/>
              </w:rPr>
              <w:t>辐射国家</w:t>
            </w:r>
          </w:p>
        </w:tc>
        <w:tc>
          <w:tcPr>
            <w:tcW w:w="2426" w:type="dxa"/>
            <w:shd w:val="clear" w:color="auto" w:fill="4069DD"/>
            <w:vAlign w:val="top"/>
          </w:tcPr>
          <w:p>
            <w:pPr>
              <w:spacing w:before="211" w:line="189" w:lineRule="auto"/>
              <w:ind w:left="679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7"/>
                <w:sz w:val="28"/>
                <w:szCs w:val="28"/>
              </w:rPr>
              <w:t>展会面积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6" w:hRule="atLeast"/>
          <w:jc w:val="center"/>
        </w:trPr>
        <w:tc>
          <w:tcPr>
            <w:tcW w:w="2412" w:type="dxa"/>
            <w:vAlign w:val="top"/>
          </w:tcPr>
          <w:p>
            <w:pPr>
              <w:spacing w:before="227" w:line="214" w:lineRule="auto"/>
              <w:jc w:val="center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pacing w:val="-8"/>
                <w:sz w:val="28"/>
                <w:szCs w:val="28"/>
                <w:lang w:val="en-US" w:eastAsia="zh-CN"/>
              </w:rPr>
              <w:t>500</w:t>
            </w:r>
            <w:r>
              <w:rPr>
                <w:rFonts w:ascii="微软雅黑" w:hAnsi="微软雅黑" w:eastAsia="微软雅黑" w:cs="微软雅黑"/>
                <w:spacing w:val="-8"/>
                <w:sz w:val="28"/>
                <w:szCs w:val="28"/>
              </w:rPr>
              <w:t>+</w:t>
            </w:r>
          </w:p>
        </w:tc>
        <w:tc>
          <w:tcPr>
            <w:tcW w:w="2432" w:type="dxa"/>
            <w:vAlign w:val="top"/>
          </w:tcPr>
          <w:p>
            <w:pPr>
              <w:spacing w:before="225" w:line="197" w:lineRule="auto"/>
              <w:jc w:val="center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pacing w:val="-3"/>
                <w:sz w:val="28"/>
                <w:szCs w:val="28"/>
                <w:lang w:val="en-US" w:eastAsia="zh-CN"/>
              </w:rPr>
              <w:t>520</w:t>
            </w:r>
            <w:r>
              <w:rPr>
                <w:rFonts w:ascii="微软雅黑" w:hAnsi="微软雅黑" w:eastAsia="微软雅黑" w:cs="微软雅黑"/>
                <w:spacing w:val="-3"/>
                <w:sz w:val="28"/>
                <w:szCs w:val="28"/>
              </w:rPr>
              <w:t>0+</w:t>
            </w:r>
          </w:p>
        </w:tc>
        <w:tc>
          <w:tcPr>
            <w:tcW w:w="2419" w:type="dxa"/>
            <w:vAlign w:val="top"/>
          </w:tcPr>
          <w:p>
            <w:pPr>
              <w:spacing w:before="227" w:line="214" w:lineRule="auto"/>
              <w:ind w:left="933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-10"/>
                <w:sz w:val="28"/>
                <w:szCs w:val="28"/>
                <w:lang w:val="en-US" w:eastAsia="zh-CN"/>
              </w:rPr>
              <w:t>100</w:t>
            </w:r>
            <w:r>
              <w:rPr>
                <w:rFonts w:ascii="微软雅黑" w:hAnsi="微软雅黑" w:eastAsia="微软雅黑" w:cs="微软雅黑"/>
                <w:color w:val="auto"/>
                <w:spacing w:val="-10"/>
                <w:sz w:val="28"/>
                <w:szCs w:val="28"/>
              </w:rPr>
              <w:t>+</w:t>
            </w:r>
          </w:p>
        </w:tc>
        <w:tc>
          <w:tcPr>
            <w:tcW w:w="2426" w:type="dxa"/>
            <w:vAlign w:val="top"/>
          </w:tcPr>
          <w:p>
            <w:pPr>
              <w:spacing w:before="225" w:line="197" w:lineRule="auto"/>
              <w:jc w:val="center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-3"/>
                <w:sz w:val="28"/>
                <w:szCs w:val="28"/>
                <w:lang w:val="en-US" w:eastAsia="zh-CN"/>
              </w:rPr>
              <w:t>4</w:t>
            </w:r>
            <w:r>
              <w:rPr>
                <w:rFonts w:ascii="微软雅黑" w:hAnsi="微软雅黑" w:eastAsia="微软雅黑" w:cs="微软雅黑"/>
                <w:color w:val="auto"/>
                <w:spacing w:val="-3"/>
                <w:sz w:val="28"/>
                <w:szCs w:val="28"/>
              </w:rPr>
              <w:t>,000+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position w:val="-71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市场机遇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center"/>
        <w:textAlignment w:val="baseline"/>
        <w:rPr>
          <w:rFonts w:hint="eastAsia" w:ascii="微软雅黑" w:hAnsi="微软雅黑" w:eastAsia="微软雅黑" w:cs="宋体"/>
          <w:kern w:val="0"/>
          <w:sz w:val="10"/>
          <w:szCs w:val="10"/>
        </w:rPr>
      </w:pPr>
      <w:r>
        <w:rPr>
          <w:position w:val="-71"/>
        </w:rPr>
        <w:drawing>
          <wp:inline distT="0" distB="0" distL="0" distR="0">
            <wp:extent cx="6415405" cy="2728595"/>
            <wp:effectExtent l="0" t="0" r="4445" b="14605"/>
            <wp:docPr id="8" name="IM 8" descr="E:\李姗\MIE\招展资料—改后\2024.9\9. 莫桑比克天然气及能源展\QQ截图20231017142917.pngQQ截图202310171429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 descr="E:\李姗\MIE\招展资料—改后\2024.9\9. 莫桑比克天然气及能源展\QQ截图20231017142917.pngQQ截图20231017142917"/>
                    <pic:cNvPicPr/>
                  </pic:nvPicPr>
                  <pic:blipFill>
                    <a:blip r:embed="rId7"/>
                    <a:srcRect b="19950"/>
                    <a:stretch>
                      <a:fillRect/>
                    </a:stretch>
                  </pic:blipFill>
                  <pic:spPr>
                    <a:xfrm>
                      <a:off x="0" y="0"/>
                      <a:ext cx="641540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微软雅黑" w:hAnsi="微软雅黑" w:eastAsia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sz w:val="28"/>
          <w:szCs w:val="28"/>
        </w:rPr>
        <w:t>莫桑比克，是非洲东南部国家，与南非、斯威士兰、津巴布韦、赞比亚、马拉维、坦桑尼亚六国接壤，是非洲东南部重要的出海口，液化天然气通过海洋运输可以抵达世界主要LNG</w:t>
      </w:r>
      <w:r>
        <w:rPr>
          <w:rFonts w:hint="eastAsia" w:ascii="微软雅黑" w:hAnsi="微软雅黑" w:eastAsia="微软雅黑"/>
          <w:sz w:val="28"/>
          <w:szCs w:val="28"/>
          <w:lang w:eastAsia="zh-CN"/>
        </w:rPr>
        <w:t>（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液化天然气</w:t>
      </w:r>
      <w:r>
        <w:rPr>
          <w:rFonts w:hint="eastAsia" w:ascii="微软雅黑" w:hAnsi="微软雅黑" w:eastAsia="微软雅黑"/>
          <w:sz w:val="28"/>
          <w:szCs w:val="28"/>
          <w:lang w:eastAsia="zh-CN"/>
        </w:rPr>
        <w:t>）</w:t>
      </w:r>
      <w:r>
        <w:rPr>
          <w:rFonts w:hint="eastAsia" w:ascii="微软雅黑" w:hAnsi="微软雅黑" w:eastAsia="微软雅黑"/>
          <w:sz w:val="28"/>
          <w:szCs w:val="28"/>
        </w:rPr>
        <w:t>市场，地理位置优越</w:t>
      </w:r>
      <w:r>
        <w:rPr>
          <w:rFonts w:hint="eastAsia" w:ascii="微软雅黑" w:hAnsi="微软雅黑" w:eastAsia="微软雅黑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莫桑比克是联合国、南部非洲发展共同体、不结盟运动、英联邦、伊斯兰会议组织、环印度洋地区合作联盟、葡语国家共同体和非洲联盟成员国。2021年莫桑比克国内生产总值（GDP）154亿美元。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莫桑比克拥有相当大的能源资源，估计水电潜力为12,000兆瓦，天然气储量(估计达到7000亿立方米)和巨大的煤炭储量(估计达到1.4亿TJ)，有可能产生约分别为500兆瓦和5,000兆瓦。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莫桑比克北部4区块包含65万亿立方英尺的深水天然气资源，将分为Coral FLNG和4区陆上LNG项目开发。埃克森美孚将运营两个陆上液化天然气项目，而埃尼将继续经营Coral浮式液化天然气和上游开发项目。每条液化天然气生产线的年产量为760万吨，总产量为1500.2万吨，使其成为莫桑比克较大的液化天然气生产设施之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莫桑比克东部海域天然气储量大、品质好，成为全球油气合作开发的新兴热点地区之一。2013年，中国石油与其他5国的伙伴共同成立联合公司。经过10年的拼搏，实现了在莫桑比克运营的世界上首个超深水浮式液化天然气项目——科洛尔项目成功投产。莫桑比克4区科洛尔项目是世界上首个超深水浮式LNG项目，也是非洲第一大、世界第二大FLNG项目，水深超过2000米，集成了当今世界最前沿的深海液化天然气技术，以“水下生产系统”加“FLNG”的模式开发。矗立在莫桑比克海域的科洛尔FLNG船，长432米、宽66米、高38.5米，总重量超22万吨，甲板约4个足球场大小，体量大于世界上任何一艘航空母舰。船上主要设备有120台，管线连接超过10万处，敷设电缆超过1000公里。2022年11月，首批液化天然气产品发运，科洛尔项目实现了全产业链运营。莫桑比克也首次成为液化天然气出口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ascii="微软雅黑" w:hAnsi="微软雅黑" w:eastAsia="微软雅黑" w:cs="宋体"/>
          <w:kern w:val="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eastAsia" w:ascii="微软雅黑" w:hAnsi="微软雅黑" w:eastAsia="微软雅黑" w:cs="宋体"/>
          <w:kern w:val="0"/>
          <w:sz w:val="43"/>
          <w:szCs w:val="43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招展范围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eastAsia" w:ascii="微软雅黑" w:hAnsi="微软雅黑" w:eastAsia="微软雅黑" w:cs="宋体"/>
          <w:kern w:val="0"/>
          <w:sz w:val="43"/>
          <w:szCs w:val="43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 w:val="43"/>
          <w:szCs w:val="43"/>
          <w:lang w:val="en-US" w:eastAsia="zh-CN"/>
        </w:rPr>
        <w:drawing>
          <wp:inline distT="0" distB="0" distL="114300" distR="114300">
            <wp:extent cx="6415405" cy="2728595"/>
            <wp:effectExtent l="0" t="0" r="4445" b="14605"/>
            <wp:docPr id="5" name="图片 5" descr="E:\李姗\MIE\招展资料—改后\2024.9\9. 莫桑比克天然气及能源展\QQ截图20231017142502.pngQQ截图20231017142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\李姗\MIE\招展资料—改后\2024.9\9. 莫桑比克天然气及能源展\QQ截图20231017142502.pngQQ截图20231017142502"/>
                    <pic:cNvPicPr/>
                  </pic:nvPicPr>
                  <pic:blipFill>
                    <a:blip r:embed="rId8"/>
                    <a:srcRect t="11427" b="17081"/>
                    <a:stretch>
                      <a:fillRect/>
                    </a:stretch>
                  </pic:blipFill>
                  <pic:spPr>
                    <a:xfrm>
                      <a:off x="0" y="0"/>
                      <a:ext cx="641540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ascii="微软雅黑" w:hAnsi="微软雅黑" w:eastAsia="微软雅黑" w:cs="宋体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8"/>
          <w:szCs w:val="28"/>
        </w:rPr>
        <w:t xml:space="preserve">燃气管网工程建设与地下管线管理技术设备: 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直缝埋弧焊管、螺旋缝埋弧焊管附、ERW焊管及其生产、检测设备技术，燃气管道的新材料及其配套部件、弯管的制造设备及技术、管道内外壁防腐材料技术和堵漏技术、地下管线探测、检测、泄漏监测技术设备，综合信息管理系统。管道施工及非开挖技术设备等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ascii="微软雅黑" w:hAnsi="微软雅黑" w:eastAsia="微软雅黑" w:cs="宋体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8"/>
          <w:szCs w:val="28"/>
        </w:rPr>
        <w:t xml:space="preserve">燃气汽车、加气站专用技术设备: 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双燃料设备、各种储气、车用瓶、站用瓶、燃气汽车用品、燃气压缩机、燃气转换系统、电控系统、混合器、LPG汽化调节器、CNG移动和固定加气站及配套设备、各种清洁燃气汽车、燃气汽车成套设备；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ascii="微软雅黑" w:hAnsi="微软雅黑" w:eastAsia="微软雅黑" w:cs="宋体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8"/>
          <w:szCs w:val="28"/>
        </w:rPr>
        <w:t xml:space="preserve">燃气技术设备: 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燃气输配系统新技术及维护管理技术设备、燃气应用技术；燃气控制检测技术与设备、燃气自动化控制、报警系统；石油天然气存储技术、煤气净化与回收技术供气集中监控技术；新型专用管材与设备、管道的防腐技术、燃气阀门；燃气锅炉、燃气供热（水）设备各类燃气用具及零配件等；燃气采暖技术设备、燃气中央空调；工业燃气设备燃气安全装置及燃气相关设备等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ascii="微软雅黑" w:hAnsi="微软雅黑" w:eastAsia="微软雅黑" w:cs="宋体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8"/>
          <w:szCs w:val="28"/>
        </w:rPr>
        <w:t xml:space="preserve">天然气工程建设与技术设备: 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天然气勘探开发与生产技术装备、天然气压缩机、天然气管道传输技术设备、控制系统、仪器仪表、天然气压缩机、燃气轮机、城市燃气技术设备、燃气终端产品、天然气发电成套技术设备、天然气化工成套技术设备、相关环保技术、设计研究、技术咨询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ascii="微软雅黑" w:hAnsi="微软雅黑" w:eastAsia="微软雅黑" w:cs="宋体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8"/>
          <w:szCs w:val="28"/>
        </w:rPr>
        <w:t xml:space="preserve">泵阀管道: 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停止阀/闭塞阀、调节阀、安全阀、流量分配阀等；市政建设用的各种天然气阀门、压力控制/温度控制设备、管道包装材料、相关工具及其他；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ascii="微软雅黑" w:hAnsi="微软雅黑" w:eastAsia="微软雅黑" w:cs="宋体"/>
          <w:b/>
          <w:bCs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8"/>
          <w:szCs w:val="28"/>
        </w:rPr>
        <w:t xml:space="preserve">开采设备: 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勘探设备; 钻井平台;钻机电气设备;钻井专用运输和起重设备;预防和消除钻井和固定井并发症的设备;井井下修复设备和工具。石油和天然气收集和处理设备。用于固井和其他工艺过程的设备和工具。采矿专用运输和起重设备。泵送，通风和压缩机设备。采矿用电气设备。海上油田开发设备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default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合作单位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both"/>
        <w:textAlignment w:val="auto"/>
        <w:rPr>
          <w:rFonts w:hint="default" w:ascii="微软雅黑" w:hAnsi="微软雅黑" w:eastAsia="微软雅黑"/>
          <w:szCs w:val="21"/>
          <w:lang w:val="en-US" w:eastAsia="zh-CN"/>
        </w:rPr>
      </w:pPr>
      <w:r>
        <w:rPr>
          <w:rFonts w:hint="default" w:ascii="微软雅黑" w:hAnsi="微软雅黑" w:eastAsia="微软雅黑"/>
          <w:szCs w:val="21"/>
          <w:lang w:val="en-US" w:eastAsia="zh-CN"/>
        </w:rPr>
        <w:drawing>
          <wp:inline distT="0" distB="0" distL="114300" distR="114300">
            <wp:extent cx="6459855" cy="1179195"/>
            <wp:effectExtent l="0" t="0" r="17145" b="1905"/>
            <wp:docPr id="19" name="图片 19" descr="8dbaa1650fd29f30a69a6470a2673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8dbaa1650fd29f30a69a6470a2673f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59855" cy="117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/>
          <w:szCs w:val="21"/>
          <w:lang w:val="en-US" w:eastAsia="zh-CN"/>
        </w:rPr>
        <w:drawing>
          <wp:inline distT="0" distB="0" distL="114300" distR="114300">
            <wp:extent cx="6459855" cy="1114425"/>
            <wp:effectExtent l="0" t="0" r="17145" b="9525"/>
            <wp:docPr id="18" name="图片 18" descr="adf0ead36bba7e6c9809b935e3f29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adf0ead36bba7e6c9809b935e3f295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5985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/>
          <w:szCs w:val="21"/>
          <w:lang w:val="en-US" w:eastAsia="zh-CN"/>
        </w:rPr>
        <w:drawing>
          <wp:inline distT="0" distB="0" distL="114300" distR="114300">
            <wp:extent cx="6461760" cy="1350645"/>
            <wp:effectExtent l="0" t="0" r="15240" b="1905"/>
            <wp:docPr id="17" name="图片 17" descr="dc18b3d671348af5f5a638287f181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c18b3d671348af5f5a638287f1819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/>
          <w:szCs w:val="21"/>
          <w:lang w:val="en-US" w:eastAsia="zh-CN"/>
        </w:rPr>
        <w:drawing>
          <wp:inline distT="0" distB="0" distL="114300" distR="114300">
            <wp:extent cx="6459855" cy="1193800"/>
            <wp:effectExtent l="0" t="0" r="17145" b="6350"/>
            <wp:docPr id="16" name="图片 16" descr="f8e59aef9c4c4c2b23cfe144320d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8e59aef9c4c4c2b23cfe144320de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59855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both"/>
        <w:textAlignment w:val="auto"/>
        <w:rPr>
          <w:rFonts w:hint="default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default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同类展会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default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40"/>
          <w:szCs w:val="40"/>
          <w:lang w:val="en-US" w:eastAsia="zh-CN"/>
        </w:rPr>
        <w:drawing>
          <wp:inline distT="0" distB="0" distL="114300" distR="114300">
            <wp:extent cx="6472555" cy="6597650"/>
            <wp:effectExtent l="0" t="0" r="4445" b="12700"/>
            <wp:docPr id="2" name="图片 2" descr="能源环保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能源环保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2555" cy="659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/>
          <w:bCs/>
          <w:sz w:val="40"/>
          <w:szCs w:val="40"/>
          <w:lang w:val="en-US" w:eastAsia="zh-CN"/>
        </w:rPr>
        <w:drawing>
          <wp:inline distT="0" distB="0" distL="114300" distR="114300">
            <wp:extent cx="6472555" cy="5920105"/>
            <wp:effectExtent l="0" t="0" r="4445" b="4445"/>
            <wp:docPr id="3" name="图片 3" descr="能源环保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能源环保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2555" cy="592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567" w:right="850" w:bottom="567" w:left="85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902DF0B"/>
    <w:multiLevelType w:val="singleLevel"/>
    <w:tmpl w:val="C902DF0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wZTUyNjZlMWNiZTRhYWQ0OWNkYjI5YjM0NGI4NGUifQ=="/>
  </w:docVars>
  <w:rsids>
    <w:rsidRoot w:val="00000000"/>
    <w:rsid w:val="044E12E6"/>
    <w:rsid w:val="06E13031"/>
    <w:rsid w:val="09175198"/>
    <w:rsid w:val="0B365CE9"/>
    <w:rsid w:val="0F2C7498"/>
    <w:rsid w:val="1024560E"/>
    <w:rsid w:val="14077076"/>
    <w:rsid w:val="17BC4C82"/>
    <w:rsid w:val="218477E9"/>
    <w:rsid w:val="2811796B"/>
    <w:rsid w:val="2A93026D"/>
    <w:rsid w:val="2D107BDD"/>
    <w:rsid w:val="2E117236"/>
    <w:rsid w:val="319B7E62"/>
    <w:rsid w:val="341E7EBC"/>
    <w:rsid w:val="37541A6B"/>
    <w:rsid w:val="3D9E1BB9"/>
    <w:rsid w:val="429D4932"/>
    <w:rsid w:val="4755413F"/>
    <w:rsid w:val="47A23EC7"/>
    <w:rsid w:val="4DA21367"/>
    <w:rsid w:val="51E41418"/>
    <w:rsid w:val="5372677F"/>
    <w:rsid w:val="5BDC51D4"/>
    <w:rsid w:val="5CD94967"/>
    <w:rsid w:val="5E007B96"/>
    <w:rsid w:val="62806114"/>
    <w:rsid w:val="652142E4"/>
    <w:rsid w:val="683242A3"/>
    <w:rsid w:val="6B271450"/>
    <w:rsid w:val="6C2F6176"/>
    <w:rsid w:val="6FD967A8"/>
    <w:rsid w:val="703F2826"/>
    <w:rsid w:val="7BA76831"/>
    <w:rsid w:val="7EAC3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微软雅黑" w:hAnsi="微软雅黑" w:eastAsia="微软雅黑" w:cs="微软雅黑"/>
      <w:sz w:val="21"/>
      <w:szCs w:val="21"/>
      <w:lang w:val="en-US" w:eastAsia="en-US" w:bidi="ar-SA"/>
    </w:rPr>
  </w:style>
  <w:style w:type="paragraph" w:styleId="3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customStyle="1" w:styleId="6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font11"/>
    <w:basedOn w:val="5"/>
    <w:autoRedefine/>
    <w:qFormat/>
    <w:uiPriority w:val="0"/>
    <w:rPr>
      <w:rFonts w:hint="eastAsia" w:ascii="微软雅黑" w:hAnsi="微软雅黑" w:eastAsia="微软雅黑" w:cs="微软雅黑"/>
      <w:color w:val="000000"/>
      <w:sz w:val="22"/>
      <w:szCs w:val="22"/>
      <w:u w:val="none"/>
    </w:rPr>
  </w:style>
  <w:style w:type="paragraph" w:customStyle="1" w:styleId="9">
    <w:name w:val="_04xlpa"/>
    <w:basedOn w:val="1"/>
    <w:qFormat/>
    <w:uiPriority w:val="0"/>
    <w:pPr>
      <w:spacing w:before="100" w:beforeAutospacing="1" w:after="100" w:afterAutospacing="1"/>
    </w:pPr>
    <w:rPr>
      <w:rFonts w:ascii="宋体" w:hAnsi="宋体" w:eastAsia="宋体" w:cs="宋体"/>
      <w:color w:val="auto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1823</Words>
  <Characters>1956</Characters>
  <Lines>0</Lines>
  <Paragraphs>0</Paragraphs>
  <TotalTime>45</TotalTime>
  <ScaleCrop>false</ScaleCrop>
  <LinksUpToDate>false</LinksUpToDate>
  <CharactersWithSpaces>1992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2023-09-28T00:45:00Z</dcterms:created>
  <dc:creator>admin</dc:creator>
  <cp:lastModifiedBy>WPS_1699857115</cp:lastModifiedBy>
  <dcterms:modified xsi:type="dcterms:W3CDTF">2024-01-04T07:11:10Z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D587F0D87A854DE6A7F81288F7E8A489_12</vt:lpwstr>
  </property>
</Properties>
</file>