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eastAsia="宋体"/>
          <w:lang w:eastAsia="zh-CN"/>
        </w:rPr>
      </w:pPr>
      <w:r>
        <w:rPr>
          <w:rFonts w:hint="eastAsia" w:eastAsia="宋体"/>
          <w:lang w:eastAsia="zh-CN"/>
        </w:rPr>
        <w:drawing>
          <wp:inline distT="0" distB="0" distL="114300" distR="114300">
            <wp:extent cx="6426835" cy="2856865"/>
            <wp:effectExtent l="0" t="0" r="12065" b="635"/>
            <wp:docPr id="4" name="图片 4" descr="微信图片_2023092714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30927141834"/>
                    <pic:cNvPicPr>
                      <a:picLocks noChangeAspect="1"/>
                    </pic:cNvPicPr>
                  </pic:nvPicPr>
                  <pic:blipFill>
                    <a:blip r:embed="rId4"/>
                    <a:stretch>
                      <a:fillRect/>
                    </a:stretch>
                  </pic:blipFill>
                  <pic:spPr>
                    <a:xfrm>
                      <a:off x="0" y="0"/>
                      <a:ext cx="6426835" cy="2856865"/>
                    </a:xfrm>
                    <a:prstGeom prst="rect">
                      <a:avLst/>
                    </a:prstGeom>
                  </pic:spPr>
                </pic:pic>
              </a:graphicData>
            </a:graphic>
          </wp:inline>
        </w:drawing>
      </w:r>
    </w:p>
    <w:p>
      <w:pPr>
        <w:jc w:val="center"/>
      </w:pPr>
      <w:r>
        <w:rPr>
          <w:rFonts w:hint="eastAsia" w:ascii="微软雅黑" w:hAnsi="微软雅黑" w:eastAsia="微软雅黑" w:cs="微软雅黑"/>
          <w:b/>
          <w:bCs/>
          <w:kern w:val="0"/>
          <w:sz w:val="56"/>
          <w:szCs w:val="56"/>
          <w:lang w:val="en-US" w:eastAsia="zh-CN"/>
        </w:rPr>
        <w:t>2024年</w:t>
      </w:r>
      <w:r>
        <w:rPr>
          <w:rFonts w:hint="eastAsia" w:ascii="微软雅黑" w:hAnsi="微软雅黑" w:eastAsia="微软雅黑"/>
          <w:b/>
          <w:sz w:val="56"/>
          <w:szCs w:val="56"/>
        </w:rPr>
        <w:t>非洲（摩洛哥）食品展(AFS)</w:t>
      </w:r>
    </w:p>
    <w:p>
      <w:pPr>
        <w:jc w:val="center"/>
      </w:pPr>
    </w:p>
    <w:p>
      <w:pPr>
        <w:jc w:val="center"/>
        <w:rPr>
          <w:rFonts w:hint="eastAsia" w:ascii="微软雅黑" w:hAnsi="微软雅黑" w:eastAsia="微软雅黑" w:cs="微软雅黑"/>
          <w:b/>
          <w:bCs/>
          <w:sz w:val="18"/>
          <w:szCs w:val="18"/>
          <w:lang w:val="en-US" w:eastAsia="zh-CN"/>
        </w:rPr>
      </w:pPr>
      <w:r>
        <w:drawing>
          <wp:inline distT="0" distB="0" distL="0" distR="0">
            <wp:extent cx="810260" cy="904875"/>
            <wp:effectExtent l="0" t="0" r="8890" b="9525"/>
            <wp:docPr id="1" name="图片 1" descr="E:/李姗/MIE/展会logo/摩洛哥食品展.png摩洛哥食品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李姗/MIE/展会logo/摩洛哥食品展.png摩洛哥食品展"/>
                    <pic:cNvPicPr>
                      <a:picLocks noChangeAspect="1"/>
                    </pic:cNvPicPr>
                  </pic:nvPicPr>
                  <pic:blipFill>
                    <a:blip r:embed="rId5"/>
                    <a:srcRect l="6757" t="3295" r="8108" b="4143"/>
                    <a:stretch>
                      <a:fillRect/>
                    </a:stretch>
                  </pic:blipFill>
                  <pic:spPr>
                    <a:xfrm>
                      <a:off x="0" y="0"/>
                      <a:ext cx="810260" cy="904875"/>
                    </a:xfrm>
                    <a:prstGeom prst="rect">
                      <a:avLst/>
                    </a:prstGeom>
                  </pic:spPr>
                </pic:pic>
              </a:graphicData>
            </a:graphic>
          </wp:inline>
        </w:drawing>
      </w:r>
    </w:p>
    <w:p>
      <w:pPr>
        <w:jc w:val="left"/>
        <w:rPr>
          <w:rFonts w:hint="eastAsia" w:ascii="微软雅黑" w:hAnsi="微软雅黑" w:eastAsia="微软雅黑" w:cs="微软雅黑"/>
          <w:b/>
          <w:bCs/>
          <w:sz w:val="40"/>
          <w:szCs w:val="40"/>
          <w:lang w:val="en-US" w:eastAsia="zh-CN"/>
        </w:rPr>
      </w:pPr>
      <w:r>
        <w:rPr>
          <w:rFonts w:hint="eastAsia" w:ascii="微软雅黑" w:hAnsi="微软雅黑" w:eastAsia="微软雅黑" w:cs="微软雅黑"/>
          <w:b/>
          <w:bCs/>
          <w:sz w:val="40"/>
          <w:szCs w:val="40"/>
          <w:lang w:val="en-US" w:eastAsia="zh-CN"/>
        </w:rPr>
        <w:t>展会介绍</w:t>
      </w:r>
    </w:p>
    <w:p>
      <w:pPr>
        <w:pStyle w:val="3"/>
        <w:spacing w:before="159" w:line="187" w:lineRule="auto"/>
        <w:ind w:left="169"/>
        <w:jc w:val="left"/>
        <w:rPr>
          <w:b/>
          <w:bCs/>
          <w:color w:val="050E17"/>
          <w:spacing w:val="9"/>
          <w:sz w:val="28"/>
          <w:szCs w:val="28"/>
        </w:rPr>
      </w:pPr>
      <w:r>
        <w:rPr>
          <w:rFonts w:hint="eastAsia"/>
          <w:b/>
          <w:bCs/>
          <w:color w:val="050E17"/>
          <w:spacing w:val="9"/>
          <w:sz w:val="28"/>
          <w:szCs w:val="28"/>
        </w:rPr>
        <w:t>●</w:t>
      </w:r>
      <w:r>
        <w:rPr>
          <w:rFonts w:hint="eastAsia"/>
          <w:b/>
          <w:bCs/>
          <w:color w:val="050E17"/>
          <w:spacing w:val="9"/>
          <w:sz w:val="28"/>
          <w:szCs w:val="28"/>
          <w:lang w:val="en-US" w:eastAsia="zh-CN"/>
        </w:rPr>
        <w:t xml:space="preserve"> </w:t>
      </w:r>
      <w:r>
        <w:rPr>
          <w:b/>
          <w:bCs/>
          <w:color w:val="050E17"/>
          <w:spacing w:val="9"/>
          <w:sz w:val="28"/>
          <w:szCs w:val="28"/>
        </w:rPr>
        <w:t>展会时间</w:t>
      </w:r>
      <w:r>
        <w:rPr>
          <w:rFonts w:hint="eastAsia"/>
          <w:b/>
          <w:bCs/>
          <w:color w:val="050E17"/>
          <w:spacing w:val="9"/>
          <w:sz w:val="28"/>
          <w:szCs w:val="28"/>
          <w:lang w:eastAsia="zh-CN"/>
        </w:rPr>
        <w:t>：</w:t>
      </w:r>
      <w:r>
        <w:rPr>
          <w:b/>
          <w:bCs/>
          <w:color w:val="050E17"/>
          <w:spacing w:val="9"/>
          <w:sz w:val="28"/>
          <w:szCs w:val="28"/>
        </w:rPr>
        <w:t>2024年</w:t>
      </w:r>
      <w:r>
        <w:rPr>
          <w:rFonts w:hint="eastAsia"/>
          <w:b/>
          <w:bCs/>
          <w:color w:val="050E17"/>
          <w:spacing w:val="9"/>
          <w:sz w:val="28"/>
          <w:szCs w:val="28"/>
          <w:lang w:val="en-US" w:eastAsia="zh-CN"/>
        </w:rPr>
        <w:t>11</w:t>
      </w:r>
      <w:r>
        <w:rPr>
          <w:b/>
          <w:bCs/>
          <w:color w:val="050E17"/>
          <w:spacing w:val="9"/>
          <w:sz w:val="28"/>
          <w:szCs w:val="28"/>
        </w:rPr>
        <w:t>月</w:t>
      </w:r>
      <w:r>
        <w:rPr>
          <w:rFonts w:hint="eastAsia"/>
          <w:b/>
          <w:bCs/>
          <w:color w:val="050E17"/>
          <w:spacing w:val="9"/>
          <w:sz w:val="28"/>
          <w:szCs w:val="28"/>
          <w:lang w:val="en-US" w:eastAsia="zh-CN"/>
        </w:rPr>
        <w:t>20-22</w:t>
      </w:r>
      <w:r>
        <w:rPr>
          <w:b/>
          <w:bCs/>
          <w:color w:val="050E17"/>
          <w:spacing w:val="9"/>
          <w:sz w:val="28"/>
          <w:szCs w:val="28"/>
        </w:rPr>
        <w:t>日</w:t>
      </w:r>
      <w:r>
        <w:rPr>
          <w:rFonts w:hint="eastAsia"/>
          <w:b/>
          <w:bCs/>
          <w:color w:val="050E17"/>
          <w:spacing w:val="9"/>
          <w:sz w:val="28"/>
          <w:szCs w:val="28"/>
          <w:lang w:val="en-US" w:eastAsia="zh-CN"/>
        </w:rPr>
        <w:t xml:space="preserve">  </w:t>
      </w:r>
      <w:r>
        <w:rPr>
          <w:b/>
          <w:bCs/>
          <w:color w:val="050E17"/>
          <w:spacing w:val="9"/>
          <w:sz w:val="28"/>
          <w:szCs w:val="28"/>
        </w:rPr>
        <w:t>展会地点</w:t>
      </w:r>
      <w:r>
        <w:rPr>
          <w:rFonts w:hint="eastAsia"/>
          <w:b/>
          <w:bCs/>
          <w:color w:val="050E17"/>
          <w:spacing w:val="9"/>
          <w:sz w:val="28"/>
          <w:szCs w:val="28"/>
          <w:lang w:eastAsia="zh-CN"/>
        </w:rPr>
        <w:t>：</w:t>
      </w:r>
      <w:r>
        <w:rPr>
          <w:rFonts w:hint="eastAsia" w:ascii="微软雅黑" w:hAnsi="微软雅黑" w:eastAsia="微软雅黑" w:cs="宋体"/>
          <w:b/>
          <w:kern w:val="0"/>
          <w:sz w:val="28"/>
          <w:szCs w:val="28"/>
        </w:rPr>
        <w:t>卡萨布兰卡</w:t>
      </w:r>
      <w:r>
        <w:rPr>
          <w:rFonts w:ascii="微软雅黑" w:hAnsi="微软雅黑" w:eastAsia="微软雅黑"/>
          <w:b/>
          <w:spacing w:val="8"/>
          <w:sz w:val="28"/>
          <w:szCs w:val="28"/>
          <w:shd w:val="clear" w:color="auto" w:fill="FFFFFF"/>
        </w:rPr>
        <w:t>国际会议中心</w:t>
      </w:r>
      <w:bookmarkStart w:id="0" w:name="_GoBack"/>
      <w:bookmarkEnd w:id="0"/>
    </w:p>
    <w:p>
      <w:pPr>
        <w:pStyle w:val="3"/>
        <w:spacing w:before="159" w:line="187" w:lineRule="auto"/>
        <w:ind w:left="169"/>
        <w:jc w:val="left"/>
        <w:rPr>
          <w:rFonts w:hint="default" w:ascii="微软雅黑" w:hAnsi="微软雅黑" w:eastAsia="微软雅黑" w:cs="微软雅黑"/>
          <w:sz w:val="28"/>
          <w:szCs w:val="28"/>
          <w:lang w:val="en-US"/>
        </w:rPr>
      </w:pPr>
      <w:r>
        <w:rPr>
          <w:rFonts w:hint="eastAsia"/>
          <w:b/>
          <w:bCs/>
          <w:color w:val="050E17"/>
          <w:spacing w:val="9"/>
          <w:sz w:val="28"/>
          <w:szCs w:val="28"/>
        </w:rPr>
        <w:t>●</w:t>
      </w:r>
      <w:r>
        <w:rPr>
          <w:rFonts w:hint="eastAsia"/>
          <w:b/>
          <w:bCs/>
          <w:color w:val="050E17"/>
          <w:spacing w:val="9"/>
          <w:sz w:val="28"/>
          <w:szCs w:val="28"/>
          <w:lang w:val="en-US" w:eastAsia="zh-CN"/>
        </w:rPr>
        <w:t xml:space="preserve"> </w:t>
      </w:r>
      <w:r>
        <w:rPr>
          <w:b/>
          <w:bCs/>
          <w:color w:val="050E17"/>
          <w:spacing w:val="9"/>
          <w:sz w:val="28"/>
          <w:szCs w:val="28"/>
        </w:rPr>
        <w:t>主办单位</w:t>
      </w:r>
      <w:r>
        <w:rPr>
          <w:rFonts w:hint="eastAsia"/>
          <w:b/>
          <w:bCs/>
          <w:color w:val="050E17"/>
          <w:spacing w:val="9"/>
          <w:sz w:val="28"/>
          <w:szCs w:val="28"/>
          <w:lang w:eastAsia="zh-CN"/>
        </w:rPr>
        <w:t>：</w:t>
      </w:r>
      <w:r>
        <w:rPr>
          <w:rFonts w:hint="eastAsia"/>
          <w:b/>
          <w:bCs/>
          <w:color w:val="050E17"/>
          <w:spacing w:val="9"/>
          <w:sz w:val="28"/>
          <w:szCs w:val="28"/>
          <w:lang w:val="en-US" w:eastAsia="zh-CN"/>
        </w:rPr>
        <w:t>MIE                   展会类型：食品农业</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ascii="微软雅黑" w:hAnsi="微软雅黑" w:eastAsia="微软雅黑" w:cs="微软雅黑"/>
          <w:sz w:val="22"/>
          <w:szCs w:val="22"/>
        </w:rPr>
      </w:pPr>
      <w:r>
        <w:rPr>
          <w:position w:val="-61"/>
        </w:rPr>
        <w:drawing>
          <wp:anchor distT="0" distB="0" distL="0" distR="0" simplePos="0" relativeHeight="251659264" behindDoc="0" locked="0" layoutInCell="1" allowOverlap="1">
            <wp:simplePos x="0" y="0"/>
            <wp:positionH relativeFrom="column">
              <wp:posOffset>20320</wp:posOffset>
            </wp:positionH>
            <wp:positionV relativeFrom="paragraph">
              <wp:posOffset>243205</wp:posOffset>
            </wp:positionV>
            <wp:extent cx="6416675" cy="2728595"/>
            <wp:effectExtent l="0" t="0" r="3175" b="14605"/>
            <wp:wrapTopAndBottom/>
            <wp:docPr id="6" name="IM 6" descr="E:/李姗/MIE/招展资料—改后/2024.10/10.17-19 尼日利亚塑料包装及印刷展 4p/图片1.png图片1"/>
            <wp:cNvGraphicFramePr/>
            <a:graphic xmlns:a="http://schemas.openxmlformats.org/drawingml/2006/main">
              <a:graphicData uri="http://schemas.openxmlformats.org/drawingml/2006/picture">
                <pic:pic xmlns:pic="http://schemas.openxmlformats.org/drawingml/2006/picture">
                  <pic:nvPicPr>
                    <pic:cNvPr id="6" name="IM 6" descr="E:/李姗/MIE/招展资料—改后/2024.10/10.17-19 尼日利亚塑料包装及印刷展 4p/图片1.png图片1"/>
                    <pic:cNvPicPr/>
                  </pic:nvPicPr>
                  <pic:blipFill>
                    <a:blip r:embed="rId6"/>
                    <a:srcRect l="168" t="29480" r="-168" b="6740"/>
                    <a:stretch>
                      <a:fillRect/>
                    </a:stretch>
                  </pic:blipFill>
                  <pic:spPr>
                    <a:xfrm>
                      <a:off x="0" y="0"/>
                      <a:ext cx="6416675" cy="2728595"/>
                    </a:xfrm>
                    <a:prstGeom prst="rect">
                      <a:avLst/>
                    </a:prstGeom>
                  </pic:spPr>
                </pic:pic>
              </a:graphicData>
            </a:graphic>
          </wp:anchor>
        </w:drawing>
      </w:r>
    </w:p>
    <w:p>
      <w:pPr>
        <w:ind w:firstLine="420" w:firstLineChars="150"/>
        <w:rPr>
          <w:rFonts w:ascii="微软雅黑" w:hAnsi="微软雅黑" w:eastAsia="微软雅黑"/>
          <w:sz w:val="28"/>
          <w:szCs w:val="28"/>
        </w:rPr>
      </w:pPr>
      <w:r>
        <w:rPr>
          <w:rFonts w:hint="eastAsia" w:ascii="微软雅黑" w:hAnsi="微软雅黑" w:eastAsia="微软雅黑"/>
          <w:sz w:val="28"/>
          <w:szCs w:val="28"/>
          <w:lang w:val="en-US" w:eastAsia="zh-CN"/>
        </w:rPr>
        <w:t>非洲（</w:t>
      </w:r>
      <w:r>
        <w:rPr>
          <w:rFonts w:hint="eastAsia" w:ascii="微软雅黑" w:hAnsi="微软雅黑" w:eastAsia="微软雅黑"/>
          <w:sz w:val="28"/>
          <w:szCs w:val="28"/>
        </w:rPr>
        <w:t>摩洛哥</w:t>
      </w:r>
      <w:r>
        <w:rPr>
          <w:rFonts w:hint="eastAsia" w:ascii="微软雅黑" w:hAnsi="微软雅黑" w:eastAsia="微软雅黑"/>
          <w:sz w:val="28"/>
          <w:szCs w:val="28"/>
          <w:lang w:val="en-US" w:eastAsia="zh-CN"/>
        </w:rPr>
        <w:t>）</w:t>
      </w:r>
      <w:r>
        <w:rPr>
          <w:rFonts w:ascii="微软雅黑" w:hAnsi="微软雅黑" w:eastAsia="微软雅黑"/>
          <w:sz w:val="28"/>
          <w:szCs w:val="28"/>
        </w:rPr>
        <w:t xml:space="preserve"> 食品展由中东国际展览集团</w:t>
      </w:r>
      <w:r>
        <w:rPr>
          <w:rFonts w:hint="eastAsia" w:ascii="微软雅黑" w:hAnsi="微软雅黑" w:eastAsia="微软雅黑"/>
          <w:sz w:val="28"/>
          <w:szCs w:val="28"/>
        </w:rPr>
        <w:t>MIE</w:t>
      </w:r>
      <w:r>
        <w:rPr>
          <w:rFonts w:ascii="微软雅黑" w:hAnsi="微软雅黑" w:eastAsia="微软雅黑"/>
          <w:sz w:val="28"/>
          <w:szCs w:val="28"/>
        </w:rPr>
        <w:t>主办，</w:t>
      </w:r>
      <w:r>
        <w:rPr>
          <w:rFonts w:hint="eastAsia" w:ascii="微软雅黑" w:hAnsi="微软雅黑" w:eastAsia="微软雅黑"/>
          <w:sz w:val="28"/>
          <w:szCs w:val="28"/>
          <w:lang w:val="en-US" w:eastAsia="zh-CN"/>
        </w:rPr>
        <w:t>已经</w:t>
      </w:r>
      <w:r>
        <w:rPr>
          <w:rFonts w:ascii="微软雅黑" w:hAnsi="微软雅黑" w:eastAsia="微软雅黑"/>
          <w:sz w:val="28"/>
          <w:szCs w:val="28"/>
        </w:rPr>
        <w:t>成功举办过</w:t>
      </w:r>
      <w:r>
        <w:rPr>
          <w:rFonts w:hint="eastAsia" w:ascii="微软雅黑" w:hAnsi="微软雅黑" w:eastAsia="微软雅黑"/>
          <w:sz w:val="28"/>
          <w:szCs w:val="28"/>
          <w:lang w:val="en-US" w:eastAsia="zh-CN"/>
        </w:rPr>
        <w:t>多</w:t>
      </w:r>
      <w:r>
        <w:rPr>
          <w:rFonts w:ascii="微软雅黑" w:hAnsi="微软雅黑" w:eastAsia="微软雅黑"/>
          <w:sz w:val="28"/>
          <w:szCs w:val="28"/>
        </w:rPr>
        <w:t>届，是</w:t>
      </w:r>
      <w:r>
        <w:rPr>
          <w:rFonts w:hint="eastAsia" w:ascii="微软雅黑" w:hAnsi="微软雅黑" w:eastAsia="微软雅黑"/>
          <w:sz w:val="28"/>
          <w:szCs w:val="28"/>
        </w:rPr>
        <w:t>摩洛哥</w:t>
      </w:r>
      <w:r>
        <w:rPr>
          <w:rFonts w:ascii="微软雅黑" w:hAnsi="微软雅黑" w:eastAsia="微软雅黑"/>
          <w:sz w:val="28"/>
          <w:szCs w:val="28"/>
        </w:rPr>
        <w:t>境内规模较大的专业食品展之一。</w:t>
      </w:r>
    </w:p>
    <w:p>
      <w:pPr>
        <w:ind w:firstLine="420" w:firstLineChars="150"/>
        <w:rPr>
          <w:rFonts w:ascii="微软雅黑" w:hAnsi="微软雅黑" w:eastAsia="微软雅黑"/>
          <w:sz w:val="28"/>
          <w:szCs w:val="28"/>
        </w:rPr>
      </w:pPr>
      <w:r>
        <w:rPr>
          <w:rFonts w:hint="eastAsia" w:ascii="微软雅黑" w:hAnsi="微软雅黑" w:eastAsia="微软雅黑"/>
          <w:sz w:val="28"/>
          <w:szCs w:val="28"/>
        </w:rPr>
        <w:t>本届</w:t>
      </w:r>
      <w:r>
        <w:rPr>
          <w:rFonts w:hint="eastAsia" w:ascii="微软雅黑" w:hAnsi="微软雅黑" w:eastAsia="微软雅黑"/>
          <w:sz w:val="28"/>
          <w:szCs w:val="28"/>
          <w:lang w:val="en-US" w:eastAsia="zh-CN"/>
        </w:rPr>
        <w:t>非洲（</w:t>
      </w:r>
      <w:r>
        <w:rPr>
          <w:rFonts w:hint="eastAsia" w:ascii="微软雅黑" w:hAnsi="微软雅黑" w:eastAsia="微软雅黑"/>
          <w:sz w:val="28"/>
          <w:szCs w:val="28"/>
        </w:rPr>
        <w:t>摩洛哥</w:t>
      </w:r>
      <w:r>
        <w:rPr>
          <w:rFonts w:hint="eastAsia" w:ascii="微软雅黑" w:hAnsi="微软雅黑" w:eastAsia="微软雅黑"/>
          <w:sz w:val="28"/>
          <w:szCs w:val="28"/>
          <w:lang w:val="en-US" w:eastAsia="zh-CN"/>
        </w:rPr>
        <w:t>）</w:t>
      </w:r>
      <w:r>
        <w:rPr>
          <w:rFonts w:ascii="微软雅黑" w:hAnsi="微软雅黑" w:eastAsia="微软雅黑"/>
          <w:sz w:val="28"/>
          <w:szCs w:val="28"/>
        </w:rPr>
        <w:t xml:space="preserve"> 食品展</w:t>
      </w:r>
      <w:r>
        <w:rPr>
          <w:rFonts w:hint="eastAsia" w:ascii="微软雅黑" w:hAnsi="微软雅黑" w:eastAsia="微软雅黑"/>
          <w:sz w:val="28"/>
          <w:szCs w:val="28"/>
        </w:rPr>
        <w:t>将于2024年11月</w:t>
      </w:r>
      <w:r>
        <w:rPr>
          <w:rFonts w:hint="eastAsia" w:ascii="微软雅黑" w:hAnsi="微软雅黑" w:eastAsia="微软雅黑"/>
          <w:sz w:val="28"/>
          <w:szCs w:val="28"/>
          <w:lang w:val="en-US" w:eastAsia="zh-CN"/>
        </w:rPr>
        <w:t>20-22</w:t>
      </w:r>
      <w:r>
        <w:rPr>
          <w:rFonts w:hint="eastAsia" w:ascii="微软雅黑" w:hAnsi="微软雅黑" w:eastAsia="微软雅黑"/>
          <w:sz w:val="28"/>
          <w:szCs w:val="28"/>
        </w:rPr>
        <w:t>日在摩洛哥-卡萨布兰卡</w:t>
      </w:r>
      <w:r>
        <w:rPr>
          <w:rFonts w:ascii="微软雅黑" w:hAnsi="微软雅黑" w:eastAsia="微软雅黑"/>
          <w:sz w:val="28"/>
          <w:szCs w:val="28"/>
        </w:rPr>
        <w:t>国际会议中心</w:t>
      </w:r>
      <w:r>
        <w:rPr>
          <w:rFonts w:hint="eastAsia" w:ascii="微软雅黑" w:hAnsi="微软雅黑" w:eastAsia="微软雅黑"/>
          <w:sz w:val="28"/>
          <w:szCs w:val="28"/>
        </w:rPr>
        <w:t>举办，将吸引来自超过12个国家的300余家展商参展，并吸引9，000余名观众参观。</w:t>
      </w:r>
    </w:p>
    <w:tbl>
      <w:tblPr>
        <w:tblStyle w:val="8"/>
        <w:tblpPr w:leftFromText="180" w:rightFromText="180" w:vertAnchor="text" w:horzAnchor="page" w:tblpXSpec="center" w:tblpY="137"/>
        <w:tblOverlap w:val="never"/>
        <w:tblW w:w="968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12"/>
        <w:gridCol w:w="2432"/>
        <w:gridCol w:w="2419"/>
        <w:gridCol w:w="24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1" w:hRule="atLeast"/>
          <w:jc w:val="center"/>
        </w:trPr>
        <w:tc>
          <w:tcPr>
            <w:tcW w:w="2412" w:type="dxa"/>
            <w:shd w:val="clear" w:color="auto" w:fill="4069DD"/>
            <w:vAlign w:val="top"/>
          </w:tcPr>
          <w:p>
            <w:pPr>
              <w:spacing w:before="211" w:line="190" w:lineRule="auto"/>
              <w:ind w:left="685"/>
              <w:rPr>
                <w:rFonts w:ascii="微软雅黑" w:hAnsi="微软雅黑" w:eastAsia="微软雅黑" w:cs="微软雅黑"/>
                <w:sz w:val="28"/>
                <w:szCs w:val="28"/>
              </w:rPr>
            </w:pPr>
            <w:r>
              <w:rPr>
                <w:rFonts w:ascii="微软雅黑" w:hAnsi="微软雅黑" w:eastAsia="微软雅黑" w:cs="微软雅黑"/>
                <w:color w:val="FFFFFF"/>
                <w:spacing w:val="3"/>
                <w:sz w:val="28"/>
                <w:szCs w:val="28"/>
              </w:rPr>
              <w:t>国际展商</w:t>
            </w:r>
          </w:p>
        </w:tc>
        <w:tc>
          <w:tcPr>
            <w:tcW w:w="2432" w:type="dxa"/>
            <w:shd w:val="clear" w:color="auto" w:fill="4069DD"/>
            <w:vAlign w:val="top"/>
          </w:tcPr>
          <w:p>
            <w:pPr>
              <w:spacing w:before="210" w:line="189" w:lineRule="auto"/>
              <w:ind w:left="681"/>
              <w:rPr>
                <w:rFonts w:ascii="微软雅黑" w:hAnsi="微软雅黑" w:eastAsia="微软雅黑" w:cs="微软雅黑"/>
                <w:sz w:val="28"/>
                <w:szCs w:val="28"/>
              </w:rPr>
            </w:pPr>
            <w:r>
              <w:rPr>
                <w:rFonts w:ascii="微软雅黑" w:hAnsi="微软雅黑" w:eastAsia="微软雅黑" w:cs="微软雅黑"/>
                <w:color w:val="FFFFFF"/>
                <w:spacing w:val="6"/>
                <w:sz w:val="28"/>
                <w:szCs w:val="28"/>
              </w:rPr>
              <w:t>参展人数</w:t>
            </w:r>
          </w:p>
        </w:tc>
        <w:tc>
          <w:tcPr>
            <w:tcW w:w="2419" w:type="dxa"/>
            <w:shd w:val="clear" w:color="auto" w:fill="4069DD"/>
            <w:vAlign w:val="top"/>
          </w:tcPr>
          <w:p>
            <w:pPr>
              <w:spacing w:before="210" w:line="191" w:lineRule="auto"/>
              <w:ind w:left="678"/>
              <w:rPr>
                <w:rFonts w:ascii="微软雅黑" w:hAnsi="微软雅黑" w:eastAsia="微软雅黑" w:cs="微软雅黑"/>
                <w:sz w:val="28"/>
                <w:szCs w:val="28"/>
              </w:rPr>
            </w:pPr>
            <w:r>
              <w:rPr>
                <w:rFonts w:ascii="微软雅黑" w:hAnsi="微软雅黑" w:eastAsia="微软雅黑" w:cs="微软雅黑"/>
                <w:color w:val="FFFFFF"/>
                <w:spacing w:val="6"/>
                <w:sz w:val="28"/>
                <w:szCs w:val="28"/>
              </w:rPr>
              <w:t>辐射国家</w:t>
            </w:r>
          </w:p>
        </w:tc>
        <w:tc>
          <w:tcPr>
            <w:tcW w:w="2426" w:type="dxa"/>
            <w:shd w:val="clear" w:color="auto" w:fill="4069DD"/>
            <w:vAlign w:val="top"/>
          </w:tcPr>
          <w:p>
            <w:pPr>
              <w:spacing w:before="211" w:line="189" w:lineRule="auto"/>
              <w:ind w:left="679"/>
              <w:rPr>
                <w:rFonts w:ascii="微软雅黑" w:hAnsi="微软雅黑" w:eastAsia="微软雅黑" w:cs="微软雅黑"/>
                <w:sz w:val="28"/>
                <w:szCs w:val="28"/>
              </w:rPr>
            </w:pPr>
            <w:r>
              <w:rPr>
                <w:rFonts w:ascii="微软雅黑" w:hAnsi="微软雅黑" w:eastAsia="微软雅黑" w:cs="微软雅黑"/>
                <w:color w:val="FFFFFF"/>
                <w:spacing w:val="7"/>
                <w:sz w:val="28"/>
                <w:szCs w:val="28"/>
              </w:rPr>
              <w:t>展会面积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6" w:hRule="atLeast"/>
          <w:jc w:val="center"/>
        </w:trPr>
        <w:tc>
          <w:tcPr>
            <w:tcW w:w="2412" w:type="dxa"/>
            <w:vAlign w:val="top"/>
          </w:tcPr>
          <w:p>
            <w:pPr>
              <w:spacing w:before="227" w:line="214" w:lineRule="auto"/>
              <w:jc w:val="center"/>
              <w:rPr>
                <w:rFonts w:ascii="微软雅黑" w:hAnsi="微软雅黑" w:eastAsia="微软雅黑" w:cs="微软雅黑"/>
                <w:sz w:val="28"/>
                <w:szCs w:val="28"/>
              </w:rPr>
            </w:pPr>
            <w:r>
              <w:rPr>
                <w:rFonts w:hint="eastAsia" w:ascii="微软雅黑" w:hAnsi="微软雅黑" w:eastAsia="微软雅黑" w:cs="微软雅黑"/>
                <w:spacing w:val="-8"/>
                <w:sz w:val="28"/>
                <w:szCs w:val="28"/>
                <w:lang w:val="en-US" w:eastAsia="zh-CN"/>
              </w:rPr>
              <w:t>300</w:t>
            </w:r>
            <w:r>
              <w:rPr>
                <w:rFonts w:ascii="微软雅黑" w:hAnsi="微软雅黑" w:eastAsia="微软雅黑" w:cs="微软雅黑"/>
                <w:spacing w:val="-8"/>
                <w:sz w:val="28"/>
                <w:szCs w:val="28"/>
              </w:rPr>
              <w:t>+</w:t>
            </w:r>
          </w:p>
        </w:tc>
        <w:tc>
          <w:tcPr>
            <w:tcW w:w="2432" w:type="dxa"/>
            <w:vAlign w:val="top"/>
          </w:tcPr>
          <w:p>
            <w:pPr>
              <w:spacing w:before="225" w:line="197" w:lineRule="auto"/>
              <w:jc w:val="center"/>
              <w:rPr>
                <w:rFonts w:ascii="微软雅黑" w:hAnsi="微软雅黑" w:eastAsia="微软雅黑" w:cs="微软雅黑"/>
                <w:sz w:val="28"/>
                <w:szCs w:val="28"/>
              </w:rPr>
            </w:pPr>
            <w:r>
              <w:rPr>
                <w:rFonts w:hint="eastAsia" w:ascii="微软雅黑" w:hAnsi="微软雅黑" w:eastAsia="微软雅黑" w:cs="微软雅黑"/>
                <w:spacing w:val="-3"/>
                <w:sz w:val="28"/>
                <w:szCs w:val="28"/>
                <w:lang w:val="en-US" w:eastAsia="zh-CN"/>
              </w:rPr>
              <w:t>9</w:t>
            </w:r>
            <w:r>
              <w:rPr>
                <w:rFonts w:ascii="微软雅黑" w:hAnsi="微软雅黑" w:eastAsia="微软雅黑" w:cs="微软雅黑"/>
                <w:spacing w:val="-3"/>
                <w:sz w:val="28"/>
                <w:szCs w:val="28"/>
              </w:rPr>
              <w:t>,000+</w:t>
            </w:r>
          </w:p>
        </w:tc>
        <w:tc>
          <w:tcPr>
            <w:tcW w:w="2419" w:type="dxa"/>
            <w:vAlign w:val="top"/>
          </w:tcPr>
          <w:p>
            <w:pPr>
              <w:spacing w:before="227" w:line="214" w:lineRule="auto"/>
              <w:jc w:val="center"/>
              <w:rPr>
                <w:rFonts w:ascii="微软雅黑" w:hAnsi="微软雅黑" w:eastAsia="微软雅黑" w:cs="微软雅黑"/>
                <w:sz w:val="28"/>
                <w:szCs w:val="28"/>
              </w:rPr>
            </w:pPr>
            <w:r>
              <w:rPr>
                <w:rFonts w:hint="eastAsia" w:ascii="微软雅黑" w:hAnsi="微软雅黑" w:eastAsia="微软雅黑" w:cs="微软雅黑"/>
                <w:color w:val="auto"/>
                <w:spacing w:val="-10"/>
                <w:sz w:val="28"/>
                <w:szCs w:val="28"/>
                <w:lang w:val="en-US" w:eastAsia="zh-CN"/>
              </w:rPr>
              <w:t>100</w:t>
            </w:r>
            <w:r>
              <w:rPr>
                <w:rFonts w:ascii="微软雅黑" w:hAnsi="微软雅黑" w:eastAsia="微软雅黑" w:cs="微软雅黑"/>
                <w:color w:val="auto"/>
                <w:spacing w:val="-10"/>
                <w:sz w:val="28"/>
                <w:szCs w:val="28"/>
              </w:rPr>
              <w:t>+</w:t>
            </w:r>
          </w:p>
        </w:tc>
        <w:tc>
          <w:tcPr>
            <w:tcW w:w="2426" w:type="dxa"/>
            <w:vAlign w:val="top"/>
          </w:tcPr>
          <w:p>
            <w:pPr>
              <w:spacing w:before="225" w:line="197" w:lineRule="auto"/>
              <w:jc w:val="center"/>
              <w:rPr>
                <w:rFonts w:ascii="微软雅黑" w:hAnsi="微软雅黑" w:eastAsia="微软雅黑" w:cs="微软雅黑"/>
                <w:sz w:val="28"/>
                <w:szCs w:val="28"/>
              </w:rPr>
            </w:pPr>
            <w:r>
              <w:rPr>
                <w:rFonts w:hint="eastAsia" w:ascii="微软雅黑" w:hAnsi="微软雅黑" w:eastAsia="微软雅黑" w:cs="微软雅黑"/>
                <w:color w:val="auto"/>
                <w:spacing w:val="-3"/>
                <w:sz w:val="28"/>
                <w:szCs w:val="28"/>
                <w:lang w:val="en-US" w:eastAsia="zh-CN"/>
              </w:rPr>
              <w:t>4</w:t>
            </w:r>
            <w:r>
              <w:rPr>
                <w:rFonts w:ascii="微软雅黑" w:hAnsi="微软雅黑" w:eastAsia="微软雅黑" w:cs="微软雅黑"/>
                <w:color w:val="auto"/>
                <w:spacing w:val="-3"/>
                <w:sz w:val="28"/>
                <w:szCs w:val="28"/>
              </w:rPr>
              <w:t>,000+</w:t>
            </w:r>
          </w:p>
        </w:tc>
      </w:tr>
    </w:tbl>
    <w:p>
      <w:pPr>
        <w:keepNext w:val="0"/>
        <w:keepLines w:val="0"/>
        <w:pageBreakBefore w:val="0"/>
        <w:widowControl/>
        <w:kinsoku w:val="0"/>
        <w:wordWrap/>
        <w:overflowPunct/>
        <w:topLinePunct w:val="0"/>
        <w:autoSpaceDE w:val="0"/>
        <w:autoSpaceDN w:val="0"/>
        <w:bidi w:val="0"/>
        <w:adjustRightInd w:val="0"/>
        <w:snapToGrid/>
        <w:spacing w:line="360" w:lineRule="auto"/>
        <w:jc w:val="both"/>
        <w:textAlignment w:val="baseline"/>
        <w:rPr>
          <w:rFonts w:hint="eastAsia" w:ascii="微软雅黑" w:hAnsi="微软雅黑" w:eastAsia="微软雅黑" w:cs="微软雅黑"/>
          <w:b/>
          <w:bCs/>
          <w:sz w:val="18"/>
          <w:szCs w:val="18"/>
          <w:lang w:val="en-US" w:eastAsia="zh-CN"/>
        </w:rPr>
      </w:pPr>
    </w:p>
    <w:p>
      <w:pPr>
        <w:keepNext w:val="0"/>
        <w:keepLines w:val="0"/>
        <w:pageBreakBefore w:val="0"/>
        <w:widowControl/>
        <w:kinsoku w:val="0"/>
        <w:wordWrap/>
        <w:overflowPunct/>
        <w:topLinePunct w:val="0"/>
        <w:autoSpaceDE w:val="0"/>
        <w:autoSpaceDN w:val="0"/>
        <w:bidi w:val="0"/>
        <w:adjustRightInd w:val="0"/>
        <w:snapToGrid/>
        <w:spacing w:line="360" w:lineRule="auto"/>
        <w:jc w:val="both"/>
        <w:textAlignment w:val="baseline"/>
        <w:rPr>
          <w:position w:val="-71"/>
        </w:rPr>
      </w:pPr>
      <w:r>
        <w:rPr>
          <w:rFonts w:hint="eastAsia" w:ascii="微软雅黑" w:hAnsi="微软雅黑" w:eastAsia="微软雅黑" w:cs="微软雅黑"/>
          <w:b/>
          <w:bCs/>
          <w:sz w:val="40"/>
          <w:szCs w:val="40"/>
          <w:lang w:val="en-US" w:eastAsia="zh-CN"/>
        </w:rPr>
        <w:t>市场机遇</w:t>
      </w:r>
    </w:p>
    <w:p>
      <w:pPr>
        <w:keepNext w:val="0"/>
        <w:keepLines w:val="0"/>
        <w:pageBreakBefore w:val="0"/>
        <w:widowControl/>
        <w:kinsoku w:val="0"/>
        <w:wordWrap/>
        <w:overflowPunct/>
        <w:topLinePunct w:val="0"/>
        <w:autoSpaceDE w:val="0"/>
        <w:autoSpaceDN w:val="0"/>
        <w:bidi w:val="0"/>
        <w:adjustRightInd w:val="0"/>
        <w:snapToGrid/>
        <w:spacing w:line="360" w:lineRule="auto"/>
        <w:jc w:val="both"/>
        <w:textAlignment w:val="baseline"/>
        <w:rPr>
          <w:rFonts w:hint="default" w:ascii="微软雅黑" w:hAnsi="微软雅黑" w:eastAsia="微软雅黑"/>
          <w:szCs w:val="21"/>
        </w:rPr>
      </w:pPr>
      <w:r>
        <w:rPr>
          <w:position w:val="-71"/>
        </w:rPr>
        <w:drawing>
          <wp:inline distT="0" distB="0" distL="0" distR="0">
            <wp:extent cx="6415405" cy="2728595"/>
            <wp:effectExtent l="0" t="0" r="4445" b="14605"/>
            <wp:docPr id="8" name="IM 8" descr="E:/李姗/MIE/招展资料—改后/2024.11-12/11.19-21 非洲（摩洛哥）食品展 (AFS)/6b1e002ad5b9a817.jpg6b1e002ad5b9a817"/>
            <wp:cNvGraphicFramePr/>
            <a:graphic xmlns:a="http://schemas.openxmlformats.org/drawingml/2006/main">
              <a:graphicData uri="http://schemas.openxmlformats.org/drawingml/2006/picture">
                <pic:pic xmlns:pic="http://schemas.openxmlformats.org/drawingml/2006/picture">
                  <pic:nvPicPr>
                    <pic:cNvPr id="8" name="IM 8" descr="E:/李姗/MIE/招展资料—改后/2024.11-12/11.19-21 非洲（摩洛哥）食品展 (AFS)/6b1e002ad5b9a817.jpg6b1e002ad5b9a817"/>
                    <pic:cNvPicPr/>
                  </pic:nvPicPr>
                  <pic:blipFill>
                    <a:blip r:embed="rId7"/>
                    <a:srcRect t="18104" b="18104"/>
                    <a:stretch>
                      <a:fillRect/>
                    </a:stretch>
                  </pic:blipFill>
                  <pic:spPr>
                    <a:xfrm>
                      <a:off x="0" y="0"/>
                      <a:ext cx="6415405" cy="27285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微软雅黑" w:hAnsi="微软雅黑" w:eastAsia="微软雅黑"/>
          <w:sz w:val="28"/>
          <w:szCs w:val="28"/>
        </w:rPr>
      </w:pPr>
      <w:r>
        <w:rPr>
          <w:rFonts w:hint="default" w:ascii="微软雅黑" w:hAnsi="微软雅黑" w:eastAsia="微软雅黑"/>
          <w:sz w:val="28"/>
          <w:szCs w:val="28"/>
        </w:rPr>
        <w:t>摩洛哥的农业资源丰富，是世界鱼类、西红柿、柑橘、橄榄及坚果的主要生产者。农副业在摩洛哥经济中占有重要地位，其产值约占GDP的4%，出口附加值达 39 亿美元，直接提供了16.1万余就业岗位。据了解，目前，摩洛哥出口产品主要有：橄榄油、水果罐头、蔬菜和水产。其生产的沙丁鱼罐头一半以上出口到欧盟，约占欧盟市场供应的25%，对欧盟出口没有上限，且为零关税。</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微软雅黑" w:hAnsi="微软雅黑" w:eastAsia="微软雅黑"/>
          <w:sz w:val="28"/>
          <w:szCs w:val="28"/>
        </w:rPr>
      </w:pPr>
      <w:r>
        <w:rPr>
          <w:rFonts w:hint="default" w:ascii="微软雅黑" w:hAnsi="微软雅黑" w:eastAsia="微软雅黑"/>
          <w:sz w:val="28"/>
          <w:szCs w:val="28"/>
        </w:rPr>
        <w:t>据悉，</w:t>
      </w:r>
      <w:r>
        <w:rPr>
          <w:rFonts w:hint="eastAsia" w:ascii="微软雅黑" w:hAnsi="微软雅黑" w:eastAsia="微软雅黑"/>
          <w:sz w:val="28"/>
          <w:szCs w:val="28"/>
          <w:lang w:val="en-US" w:eastAsia="zh-CN"/>
        </w:rPr>
        <w:t>摩洛哥</w:t>
      </w:r>
      <w:r>
        <w:rPr>
          <w:rFonts w:hint="default" w:ascii="微软雅黑" w:hAnsi="微软雅黑" w:eastAsia="微软雅黑"/>
          <w:sz w:val="28"/>
          <w:szCs w:val="28"/>
        </w:rPr>
        <w:t>全国约有相关企业2000家，产值约800亿迪拉姆，约占工业总产值的三分之一，其中25%用于出口，出口产品的80%是鱼和果蔬罐头。摩洛哥水果和蔬菜市场规模预计将从 2023 年的 41.9 亿美元增长到 2028 年的 51.5 亿美元，在预测期间（2023-2028 年）的复合年增长率为 4.21%。</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微软雅黑" w:hAnsi="微软雅黑" w:eastAsia="微软雅黑"/>
          <w:sz w:val="28"/>
          <w:szCs w:val="28"/>
        </w:rPr>
      </w:pPr>
      <w:r>
        <w:rPr>
          <w:rFonts w:hint="default" w:ascii="微软雅黑" w:hAnsi="微软雅黑" w:eastAsia="微软雅黑"/>
          <w:sz w:val="28"/>
          <w:szCs w:val="28"/>
        </w:rPr>
        <w:t>农产品加工业是摩洛哥重要的传</w:t>
      </w:r>
      <w:r>
        <w:rPr>
          <w:rFonts w:hint="eastAsia" w:ascii="微软雅黑" w:hAnsi="微软雅黑" w:eastAsia="微软雅黑"/>
          <w:sz w:val="28"/>
          <w:szCs w:val="28"/>
        </w:rPr>
        <w:t>统加工行业，近十多年来发展很快。面向国内市场供应的主要是：面粉、意大利面制品和蒸粗麦粉（摩洛哥传统食品）、糖、奶制品、植物油、饮料和烟草。农产品加工业是摩洛哥第三大出口创汇产业，2020年出口额达到684亿迪拉姆，同比上升9.2%，占出口总额的20.9%。</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微软雅黑" w:hAnsi="微软雅黑" w:eastAsia="微软雅黑"/>
          <w:sz w:val="28"/>
          <w:szCs w:val="28"/>
        </w:rPr>
      </w:pPr>
      <w:r>
        <w:rPr>
          <w:rFonts w:hint="default" w:ascii="微软雅黑" w:hAnsi="微软雅黑" w:eastAsia="微软雅黑"/>
          <w:sz w:val="28"/>
          <w:szCs w:val="28"/>
        </w:rPr>
        <w:t>目前，依托丰富的农业资源，摩洛哥已成功打造了一批国家冠军企业并强化了价值链上下游的整合，将重点发展包括果蔬种植业、乳制品产业、饼干和巧克力产业、面食和库斯库斯产业、橄榄油产业及肉类产业为主的六大价值链体系。</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微软雅黑" w:hAnsi="微软雅黑" w:eastAsia="微软雅黑"/>
          <w:sz w:val="28"/>
          <w:szCs w:val="28"/>
        </w:rPr>
      </w:pPr>
      <w:r>
        <w:rPr>
          <w:rFonts w:hint="eastAsia" w:ascii="微软雅黑" w:hAnsi="微软雅黑" w:eastAsia="微软雅黑"/>
          <w:sz w:val="28"/>
          <w:szCs w:val="28"/>
        </w:rPr>
        <w:t>从包装应用层分析，得益于食品业为摩洛哥第二支柱行业，食品包装占33.8%，工业包装位居第二占26.4%，特别值得一提的，是随着个人健康护理的日益重视，该板块的包装产量每年以10%的速度提升。包装印刷行业的巨大市场需求无疑为我国的包装印刷企业进入摩洛哥提供了大好的机会。</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微软雅黑" w:hAnsi="微软雅黑" w:eastAsia="微软雅黑"/>
          <w:sz w:val="28"/>
          <w:szCs w:val="28"/>
          <w:lang w:eastAsia="zh-CN"/>
        </w:rPr>
      </w:pPr>
    </w:p>
    <w:p>
      <w:pPr>
        <w:keepNext w:val="0"/>
        <w:keepLines w:val="0"/>
        <w:pageBreakBefore w:val="0"/>
        <w:widowControl/>
        <w:kinsoku w:val="0"/>
        <w:wordWrap/>
        <w:overflowPunct/>
        <w:topLinePunct w:val="0"/>
        <w:autoSpaceDE w:val="0"/>
        <w:autoSpaceDN w:val="0"/>
        <w:bidi w:val="0"/>
        <w:adjustRightInd w:val="0"/>
        <w:snapToGrid/>
        <w:spacing w:line="360" w:lineRule="auto"/>
        <w:jc w:val="both"/>
        <w:textAlignment w:val="baseline"/>
        <w:rPr>
          <w:rFonts w:hint="eastAsia" w:ascii="微软雅黑" w:hAnsi="微软雅黑" w:eastAsia="微软雅黑" w:cs="宋体"/>
          <w:kern w:val="0"/>
          <w:sz w:val="43"/>
          <w:szCs w:val="43"/>
          <w:lang w:val="en-US" w:eastAsia="zh-CN"/>
        </w:rPr>
      </w:pPr>
      <w:r>
        <w:rPr>
          <w:rFonts w:hint="eastAsia" w:ascii="微软雅黑" w:hAnsi="微软雅黑" w:eastAsia="微软雅黑" w:cs="微软雅黑"/>
          <w:b/>
          <w:bCs/>
          <w:color w:val="auto"/>
          <w:sz w:val="40"/>
          <w:szCs w:val="40"/>
          <w:lang w:val="en-US" w:eastAsia="zh-CN"/>
        </w:rPr>
        <w:t>招展范围</w:t>
      </w:r>
    </w:p>
    <w:p>
      <w:pPr>
        <w:keepNext w:val="0"/>
        <w:keepLines w:val="0"/>
        <w:pageBreakBefore w:val="0"/>
        <w:widowControl/>
        <w:kinsoku w:val="0"/>
        <w:wordWrap/>
        <w:overflowPunct/>
        <w:topLinePunct w:val="0"/>
        <w:autoSpaceDE w:val="0"/>
        <w:autoSpaceDN w:val="0"/>
        <w:bidi w:val="0"/>
        <w:adjustRightInd w:val="0"/>
        <w:snapToGrid/>
        <w:spacing w:line="360" w:lineRule="auto"/>
        <w:jc w:val="both"/>
        <w:textAlignment w:val="baseline"/>
        <w:rPr>
          <w:rFonts w:hint="eastAsia" w:ascii="微软雅黑" w:hAnsi="微软雅黑" w:eastAsia="微软雅黑" w:cs="宋体"/>
          <w:kern w:val="0"/>
          <w:sz w:val="43"/>
          <w:szCs w:val="43"/>
          <w:lang w:val="en-US" w:eastAsia="zh-CN"/>
        </w:rPr>
      </w:pPr>
      <w:r>
        <w:rPr>
          <w:rFonts w:hint="eastAsia" w:ascii="微软雅黑" w:hAnsi="微软雅黑" w:eastAsia="微软雅黑" w:cs="宋体"/>
          <w:kern w:val="0"/>
          <w:sz w:val="43"/>
          <w:szCs w:val="43"/>
          <w:lang w:val="en-US" w:eastAsia="zh-CN"/>
        </w:rPr>
        <w:drawing>
          <wp:inline distT="0" distB="0" distL="114300" distR="114300">
            <wp:extent cx="6367780" cy="2797810"/>
            <wp:effectExtent l="0" t="0" r="13970" b="2540"/>
            <wp:docPr id="5" name="图片 5" descr="E:\李姗\MIE\招展资料—改后\2024.11-12\11.19-21 非洲（摩洛哥）食品展 (AFS)\QQ截图20231102112622.pngQQ截图20231102112622"/>
            <wp:cNvGraphicFramePr/>
            <a:graphic xmlns:a="http://schemas.openxmlformats.org/drawingml/2006/main">
              <a:graphicData uri="http://schemas.openxmlformats.org/drawingml/2006/picture">
                <pic:pic xmlns:pic="http://schemas.openxmlformats.org/drawingml/2006/picture">
                  <pic:nvPicPr>
                    <pic:cNvPr id="5" name="图片 5" descr="E:\李姗\MIE\招展资料—改后\2024.11-12\11.19-21 非洲（摩洛哥）食品展 (AFS)\QQ截图20231102112622.pngQQ截图20231102112622"/>
                    <pic:cNvPicPr/>
                  </pic:nvPicPr>
                  <pic:blipFill>
                    <a:blip r:embed="rId8"/>
                    <a:srcRect/>
                    <a:stretch>
                      <a:fillRect/>
                    </a:stretch>
                  </pic:blipFill>
                  <pic:spPr>
                    <a:xfrm>
                      <a:off x="0" y="0"/>
                      <a:ext cx="6367780" cy="2797810"/>
                    </a:xfrm>
                    <a:prstGeom prst="rect">
                      <a:avLst/>
                    </a:prstGeom>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snapToGrid/>
        <w:ind w:left="420" w:leftChars="0" w:hanging="420" w:firstLineChars="0"/>
        <w:textAlignment w:val="auto"/>
        <w:rPr>
          <w:rFonts w:hint="eastAsia" w:ascii="微软雅黑" w:hAnsi="微软雅黑" w:eastAsia="微软雅黑" w:cs="宋体"/>
          <w:kern w:val="0"/>
          <w:sz w:val="28"/>
          <w:szCs w:val="28"/>
        </w:rPr>
      </w:pPr>
      <w:r>
        <w:rPr>
          <w:rFonts w:hint="eastAsia" w:ascii="微软雅黑" w:hAnsi="微软雅黑" w:eastAsia="微软雅黑" w:cs="宋体"/>
          <w:b/>
          <w:bCs/>
          <w:kern w:val="0"/>
          <w:sz w:val="28"/>
          <w:szCs w:val="28"/>
        </w:rPr>
        <w:t>谷类：</w:t>
      </w:r>
      <w:r>
        <w:rPr>
          <w:rFonts w:hint="eastAsia" w:ascii="微软雅黑" w:hAnsi="微软雅黑" w:eastAsia="微软雅黑" w:cs="宋体"/>
          <w:kern w:val="0"/>
          <w:sz w:val="28"/>
          <w:szCs w:val="28"/>
        </w:rPr>
        <w:t>小麦、大米、豌豆、玉米，高粱，荞麦，小麦粉，淀粉，土豆，木薯</w:t>
      </w:r>
    </w:p>
    <w:p>
      <w:pPr>
        <w:keepNext w:val="0"/>
        <w:keepLines w:val="0"/>
        <w:pageBreakBefore w:val="0"/>
        <w:widowControl w:val="0"/>
        <w:numPr>
          <w:ilvl w:val="0"/>
          <w:numId w:val="1"/>
        </w:numPr>
        <w:kinsoku/>
        <w:wordWrap/>
        <w:overflowPunct/>
        <w:topLinePunct w:val="0"/>
        <w:autoSpaceDE/>
        <w:autoSpaceDN/>
        <w:bidi w:val="0"/>
        <w:adjustRightInd/>
        <w:snapToGrid/>
        <w:ind w:left="420" w:leftChars="0" w:hanging="420" w:firstLineChars="0"/>
        <w:textAlignment w:val="auto"/>
        <w:rPr>
          <w:rFonts w:hint="eastAsia" w:ascii="微软雅黑" w:hAnsi="微软雅黑" w:eastAsia="微软雅黑" w:cs="宋体"/>
          <w:kern w:val="0"/>
          <w:sz w:val="28"/>
          <w:szCs w:val="28"/>
        </w:rPr>
      </w:pPr>
      <w:r>
        <w:rPr>
          <w:rFonts w:hint="eastAsia" w:ascii="微软雅黑" w:hAnsi="微软雅黑" w:eastAsia="微软雅黑" w:cs="宋体"/>
          <w:b/>
          <w:bCs/>
          <w:kern w:val="0"/>
          <w:sz w:val="28"/>
          <w:szCs w:val="28"/>
        </w:rPr>
        <w:t>蔬菜水果类：</w:t>
      </w:r>
      <w:r>
        <w:rPr>
          <w:rFonts w:hint="eastAsia" w:ascii="微软雅黑" w:hAnsi="微软雅黑" w:eastAsia="微软雅黑" w:cs="宋体"/>
          <w:kern w:val="0"/>
          <w:sz w:val="28"/>
          <w:szCs w:val="28"/>
        </w:rPr>
        <w:t>冷冻蔬菜，脱水蔬菜，大豆，番茄，柑橘，苹果和梨，葡萄，热带水果，葡萄，香蕉，瓜，其他水果等</w:t>
      </w:r>
    </w:p>
    <w:p>
      <w:pPr>
        <w:keepNext w:val="0"/>
        <w:keepLines w:val="0"/>
        <w:pageBreakBefore w:val="0"/>
        <w:widowControl w:val="0"/>
        <w:numPr>
          <w:ilvl w:val="0"/>
          <w:numId w:val="1"/>
        </w:numPr>
        <w:kinsoku/>
        <w:wordWrap/>
        <w:overflowPunct/>
        <w:topLinePunct w:val="0"/>
        <w:autoSpaceDE/>
        <w:autoSpaceDN/>
        <w:bidi w:val="0"/>
        <w:adjustRightInd/>
        <w:snapToGrid/>
        <w:ind w:left="420" w:leftChars="0" w:hanging="420" w:firstLineChars="0"/>
        <w:textAlignment w:val="auto"/>
        <w:rPr>
          <w:rFonts w:hint="eastAsia" w:ascii="微软雅黑" w:hAnsi="微软雅黑" w:eastAsia="微软雅黑" w:cs="宋体"/>
          <w:kern w:val="0"/>
          <w:sz w:val="28"/>
          <w:szCs w:val="28"/>
        </w:rPr>
      </w:pPr>
      <w:r>
        <w:rPr>
          <w:rFonts w:hint="eastAsia" w:ascii="微软雅黑" w:hAnsi="微软雅黑" w:eastAsia="微软雅黑" w:cs="宋体"/>
          <w:b/>
          <w:bCs/>
          <w:kern w:val="0"/>
          <w:sz w:val="28"/>
          <w:szCs w:val="28"/>
        </w:rPr>
        <w:t>坚果类：</w:t>
      </w:r>
      <w:r>
        <w:rPr>
          <w:rFonts w:hint="eastAsia" w:ascii="微软雅黑" w:hAnsi="微软雅黑" w:eastAsia="微软雅黑" w:cs="宋体"/>
          <w:kern w:val="0"/>
          <w:sz w:val="28"/>
          <w:szCs w:val="28"/>
        </w:rPr>
        <w:t>花生，干果，腰果，其他坚果，其他含油种子等</w:t>
      </w:r>
    </w:p>
    <w:p>
      <w:pPr>
        <w:keepNext w:val="0"/>
        <w:keepLines w:val="0"/>
        <w:pageBreakBefore w:val="0"/>
        <w:widowControl w:val="0"/>
        <w:numPr>
          <w:ilvl w:val="0"/>
          <w:numId w:val="1"/>
        </w:numPr>
        <w:kinsoku/>
        <w:wordWrap/>
        <w:overflowPunct/>
        <w:topLinePunct w:val="0"/>
        <w:autoSpaceDE/>
        <w:autoSpaceDN/>
        <w:bidi w:val="0"/>
        <w:adjustRightInd/>
        <w:snapToGrid/>
        <w:ind w:left="420" w:leftChars="0" w:hanging="420" w:firstLineChars="0"/>
        <w:textAlignment w:val="auto"/>
        <w:rPr>
          <w:rFonts w:hint="default" w:ascii="微软雅黑" w:hAnsi="微软雅黑" w:eastAsia="微软雅黑" w:cs="微软雅黑"/>
          <w:b/>
          <w:bCs/>
          <w:sz w:val="40"/>
          <w:szCs w:val="40"/>
          <w:lang w:val="en-US" w:eastAsia="zh-CN"/>
        </w:rPr>
      </w:pPr>
      <w:r>
        <w:rPr>
          <w:rFonts w:hint="eastAsia" w:ascii="微软雅黑" w:hAnsi="微软雅黑" w:eastAsia="微软雅黑" w:cs="宋体"/>
          <w:b/>
          <w:bCs/>
          <w:kern w:val="0"/>
          <w:sz w:val="28"/>
          <w:szCs w:val="28"/>
        </w:rPr>
        <w:t>茶类：</w:t>
      </w:r>
      <w:r>
        <w:rPr>
          <w:rFonts w:hint="eastAsia" w:ascii="微软雅黑" w:hAnsi="微软雅黑" w:eastAsia="微软雅黑" w:cs="宋体"/>
          <w:kern w:val="0"/>
          <w:sz w:val="28"/>
          <w:szCs w:val="28"/>
        </w:rPr>
        <w:t>马黛茶，茶叶</w:t>
      </w:r>
    </w:p>
    <w:p>
      <w:pPr>
        <w:keepNext w:val="0"/>
        <w:keepLines w:val="0"/>
        <w:pageBreakBefore w:val="0"/>
        <w:widowControl w:val="0"/>
        <w:numPr>
          <w:ilvl w:val="0"/>
          <w:numId w:val="1"/>
        </w:numPr>
        <w:kinsoku/>
        <w:wordWrap/>
        <w:overflowPunct/>
        <w:topLinePunct w:val="0"/>
        <w:autoSpaceDE/>
        <w:autoSpaceDN/>
        <w:bidi w:val="0"/>
        <w:adjustRightInd/>
        <w:snapToGrid/>
        <w:ind w:left="420" w:leftChars="0" w:hanging="420" w:firstLineChars="0"/>
        <w:textAlignment w:val="auto"/>
        <w:rPr>
          <w:rFonts w:hint="default" w:ascii="微软雅黑" w:hAnsi="微软雅黑" w:eastAsia="微软雅黑" w:cs="微软雅黑"/>
          <w:b/>
          <w:bCs/>
          <w:sz w:val="40"/>
          <w:szCs w:val="40"/>
          <w:lang w:val="en-US" w:eastAsia="zh-CN"/>
        </w:rPr>
      </w:pPr>
      <w:r>
        <w:rPr>
          <w:rFonts w:hint="eastAsia" w:ascii="微软雅黑" w:hAnsi="微软雅黑" w:eastAsia="微软雅黑" w:cs="宋体"/>
          <w:b/>
          <w:bCs/>
          <w:kern w:val="0"/>
          <w:sz w:val="28"/>
          <w:szCs w:val="28"/>
        </w:rPr>
        <w:t>各类食品加工技术和机械：</w:t>
      </w:r>
      <w:r>
        <w:rPr>
          <w:rFonts w:hint="eastAsia" w:ascii="微软雅黑" w:hAnsi="微软雅黑" w:eastAsia="微软雅黑" w:cs="宋体"/>
          <w:kern w:val="0"/>
          <w:sz w:val="28"/>
          <w:szCs w:val="28"/>
        </w:rPr>
        <w:t>食品饮料、啤酒、葡萄酒、果汁加工及包装设备、水果蔬菜加工及包装设备、肉类食品、乳制品加工、罐头、冷冻食品、快餐食品、休闲食品、焙烤食品、膨化食品、糖果加工设备、服务设施及环保设备等</w:t>
      </w:r>
    </w:p>
    <w:p>
      <w:pPr>
        <w:keepNext w:val="0"/>
        <w:keepLines w:val="0"/>
        <w:pageBreakBefore w:val="0"/>
        <w:widowControl w:val="0"/>
        <w:numPr>
          <w:ilvl w:val="0"/>
          <w:numId w:val="2"/>
        </w:numPr>
        <w:kinsoku/>
        <w:wordWrap/>
        <w:overflowPunct/>
        <w:topLinePunct w:val="0"/>
        <w:autoSpaceDE/>
        <w:autoSpaceDN/>
        <w:bidi w:val="0"/>
        <w:adjustRightInd/>
        <w:snapToGrid/>
        <w:ind w:left="420" w:leftChars="0" w:hanging="420" w:firstLineChars="0"/>
        <w:textAlignment w:val="auto"/>
        <w:rPr>
          <w:rFonts w:hint="default" w:ascii="微软雅黑" w:hAnsi="微软雅黑" w:eastAsia="微软雅黑" w:cs="宋体"/>
          <w:kern w:val="0"/>
          <w:sz w:val="28"/>
          <w:szCs w:val="28"/>
          <w:lang w:val="en-US" w:eastAsia="zh-CN"/>
        </w:rPr>
      </w:pPr>
      <w:r>
        <w:rPr>
          <w:rFonts w:hint="eastAsia" w:ascii="微软雅黑" w:hAnsi="微软雅黑" w:eastAsia="微软雅黑" w:cs="宋体"/>
          <w:b/>
          <w:bCs/>
          <w:kern w:val="0"/>
          <w:sz w:val="28"/>
          <w:szCs w:val="28"/>
        </w:rPr>
        <w:t>农业机械：</w:t>
      </w:r>
      <w:r>
        <w:rPr>
          <w:rFonts w:hint="eastAsia" w:ascii="微软雅黑" w:hAnsi="微软雅黑" w:eastAsia="微软雅黑" w:cs="宋体"/>
          <w:kern w:val="0"/>
          <w:sz w:val="28"/>
          <w:szCs w:val="28"/>
        </w:rPr>
        <w:t>农用动力机械、农田建设机械、土壤耕作机械、种植和施肥机械、植物保护机械、农田排灌机械、作物收获机械、农产品加工机械、畜牧业机械和农业运输机械等</w:t>
      </w:r>
    </w:p>
    <w:p>
      <w:pPr>
        <w:keepNext w:val="0"/>
        <w:keepLines w:val="0"/>
        <w:pageBreakBefore w:val="0"/>
        <w:widowControl w:val="0"/>
        <w:numPr>
          <w:ilvl w:val="0"/>
          <w:numId w:val="2"/>
        </w:numPr>
        <w:kinsoku/>
        <w:wordWrap/>
        <w:overflowPunct/>
        <w:topLinePunct w:val="0"/>
        <w:autoSpaceDE/>
        <w:autoSpaceDN/>
        <w:bidi w:val="0"/>
        <w:adjustRightInd/>
        <w:snapToGrid/>
        <w:ind w:left="420" w:leftChars="0" w:hanging="420" w:firstLineChars="0"/>
        <w:textAlignment w:val="auto"/>
        <w:rPr>
          <w:rFonts w:hint="default" w:ascii="微软雅黑" w:hAnsi="微软雅黑" w:eastAsia="微软雅黑" w:cs="宋体"/>
          <w:kern w:val="0"/>
          <w:sz w:val="28"/>
          <w:szCs w:val="28"/>
          <w:lang w:val="en-US" w:eastAsia="zh-CN"/>
        </w:rPr>
      </w:pPr>
      <w:r>
        <w:rPr>
          <w:rFonts w:hint="eastAsia" w:ascii="微软雅黑" w:hAnsi="微软雅黑" w:eastAsia="微软雅黑" w:cs="宋体"/>
          <w:b/>
          <w:bCs/>
          <w:kern w:val="0"/>
          <w:sz w:val="28"/>
          <w:szCs w:val="28"/>
        </w:rPr>
        <w:t>农化：</w:t>
      </w:r>
      <w:r>
        <w:rPr>
          <w:rFonts w:hint="eastAsia" w:ascii="微软雅黑" w:hAnsi="微软雅黑" w:eastAsia="微软雅黑" w:cs="宋体"/>
          <w:kern w:val="0"/>
          <w:sz w:val="28"/>
          <w:szCs w:val="28"/>
        </w:rPr>
        <w:t>农药、化肥、种子等农业化学品</w:t>
      </w:r>
    </w:p>
    <w:p>
      <w:pPr>
        <w:keepNext w:val="0"/>
        <w:keepLines w:val="0"/>
        <w:pageBreakBefore w:val="0"/>
        <w:widowControl w:val="0"/>
        <w:numPr>
          <w:ilvl w:val="0"/>
          <w:numId w:val="2"/>
        </w:numPr>
        <w:kinsoku/>
        <w:wordWrap/>
        <w:overflowPunct/>
        <w:topLinePunct w:val="0"/>
        <w:autoSpaceDE/>
        <w:autoSpaceDN/>
        <w:bidi w:val="0"/>
        <w:adjustRightInd/>
        <w:snapToGrid/>
        <w:ind w:left="420" w:leftChars="0" w:hanging="420" w:firstLineChars="0"/>
        <w:textAlignment w:val="auto"/>
        <w:rPr>
          <w:rFonts w:hint="default" w:ascii="微软雅黑" w:hAnsi="微软雅黑" w:eastAsia="微软雅黑" w:cs="宋体"/>
          <w:kern w:val="0"/>
          <w:sz w:val="28"/>
          <w:szCs w:val="28"/>
          <w:lang w:val="en-US" w:eastAsia="zh-CN"/>
        </w:rPr>
      </w:pPr>
      <w:r>
        <w:rPr>
          <w:rFonts w:hint="eastAsia" w:ascii="微软雅黑" w:hAnsi="微软雅黑" w:eastAsia="微软雅黑" w:cs="宋体"/>
          <w:b/>
          <w:bCs/>
          <w:kern w:val="0"/>
          <w:sz w:val="28"/>
          <w:szCs w:val="28"/>
        </w:rPr>
        <w:t>食品配套技术与设备：</w:t>
      </w:r>
      <w:r>
        <w:rPr>
          <w:rFonts w:hint="eastAsia" w:ascii="微软雅黑" w:hAnsi="微软雅黑" w:eastAsia="微软雅黑" w:cs="宋体"/>
          <w:kern w:val="0"/>
          <w:sz w:val="28"/>
          <w:szCs w:val="28"/>
        </w:rPr>
        <w:t>食品冷冻、清洗、杀菌、消毒、保鲜、加工包装技术与设备、种苗和种子、杀虫剂和土地保护产品、土壤改良用品、原料、肥料、繁殖材料、饲料等</w:t>
      </w:r>
    </w:p>
    <w:p>
      <w:pPr>
        <w:keepNext w:val="0"/>
        <w:keepLines w:val="0"/>
        <w:pageBreakBefore w:val="0"/>
        <w:widowControl w:val="0"/>
        <w:numPr>
          <w:ilvl w:val="0"/>
          <w:numId w:val="2"/>
        </w:numPr>
        <w:kinsoku/>
        <w:wordWrap/>
        <w:overflowPunct/>
        <w:topLinePunct w:val="0"/>
        <w:autoSpaceDE/>
        <w:autoSpaceDN/>
        <w:bidi w:val="0"/>
        <w:adjustRightInd/>
        <w:snapToGrid/>
        <w:ind w:left="420" w:leftChars="0" w:hanging="420" w:firstLineChars="0"/>
        <w:textAlignment w:val="auto"/>
        <w:rPr>
          <w:rFonts w:hint="default" w:ascii="微软雅黑" w:hAnsi="微软雅黑" w:eastAsia="微软雅黑" w:cs="宋体"/>
          <w:kern w:val="0"/>
          <w:sz w:val="28"/>
          <w:szCs w:val="28"/>
          <w:lang w:val="en-US" w:eastAsia="zh-CN"/>
        </w:rPr>
      </w:pPr>
      <w:r>
        <w:rPr>
          <w:rFonts w:hint="eastAsia" w:ascii="微软雅黑" w:hAnsi="微软雅黑" w:eastAsia="微软雅黑" w:cs="宋体"/>
          <w:b/>
          <w:bCs/>
          <w:kern w:val="0"/>
          <w:sz w:val="28"/>
          <w:szCs w:val="28"/>
        </w:rPr>
        <w:t>农副产品：</w:t>
      </w:r>
      <w:r>
        <w:rPr>
          <w:rFonts w:hint="eastAsia" w:ascii="微软雅黑" w:hAnsi="微软雅黑" w:eastAsia="微软雅黑" w:cs="宋体"/>
          <w:kern w:val="0"/>
          <w:sz w:val="28"/>
          <w:szCs w:val="28"/>
        </w:rPr>
        <w:t>农、林、牧、副、渔五业产品</w:t>
      </w:r>
      <w:r>
        <w:rPr>
          <w:rFonts w:hint="eastAsia" w:ascii="微软雅黑" w:hAnsi="微软雅黑" w:eastAsia="微软雅黑" w:cs="宋体"/>
          <w:kern w:val="0"/>
          <w:sz w:val="28"/>
          <w:szCs w:val="28"/>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default" w:ascii="微软雅黑" w:hAnsi="微软雅黑" w:eastAsia="微软雅黑" w:cs="微软雅黑"/>
          <w:b/>
          <w:bCs/>
          <w:sz w:val="40"/>
          <w:szCs w:val="4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微软雅黑" w:hAnsi="微软雅黑" w:eastAsia="微软雅黑" w:cs="微软雅黑"/>
          <w:b/>
          <w:bCs/>
          <w:sz w:val="40"/>
          <w:szCs w:val="40"/>
          <w:lang w:val="en-US" w:eastAsia="zh-CN"/>
        </w:rPr>
      </w:pPr>
      <w:r>
        <w:rPr>
          <w:rFonts w:hint="eastAsia" w:ascii="微软雅黑" w:hAnsi="微软雅黑" w:eastAsia="微软雅黑" w:cs="微软雅黑"/>
          <w:b/>
          <w:bCs/>
          <w:sz w:val="40"/>
          <w:szCs w:val="40"/>
          <w:lang w:val="en-US" w:eastAsia="zh-CN"/>
        </w:rPr>
        <w:t>同类展会</w:t>
      </w:r>
    </w:p>
    <w:p>
      <w:pPr>
        <w:keepNext w:val="0"/>
        <w:keepLines w:val="0"/>
        <w:pageBreakBefore w:val="0"/>
        <w:widowControl w:val="0"/>
        <w:numPr>
          <w:ilvl w:val="0"/>
          <w:numId w:val="0"/>
        </w:numPr>
        <w:kinsoku/>
        <w:wordWrap/>
        <w:overflowPunct/>
        <w:topLinePunct w:val="0"/>
        <w:autoSpaceDE/>
        <w:autoSpaceDN/>
        <w:bidi w:val="0"/>
        <w:adjustRightInd/>
        <w:snapToGrid/>
        <w:ind w:leftChars="0"/>
        <w:jc w:val="center"/>
        <w:textAlignment w:val="auto"/>
        <w:rPr>
          <w:rFonts w:hint="default"/>
          <w:lang w:val="en-US" w:eastAsia="zh-CN"/>
        </w:rPr>
      </w:pPr>
      <w:r>
        <w:rPr>
          <w:rFonts w:hint="default"/>
          <w:lang w:val="en-US" w:eastAsia="zh-CN"/>
        </w:rPr>
        <w:drawing>
          <wp:inline distT="0" distB="0" distL="114300" distR="114300">
            <wp:extent cx="6470650" cy="2316480"/>
            <wp:effectExtent l="0" t="0" r="6350" b="7620"/>
            <wp:docPr id="2" name="图片 2" descr="食品农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食品农业"/>
                    <pic:cNvPicPr>
                      <a:picLocks noChangeAspect="1"/>
                    </pic:cNvPicPr>
                  </pic:nvPicPr>
                  <pic:blipFill>
                    <a:blip r:embed="rId9"/>
                    <a:stretch>
                      <a:fillRect/>
                    </a:stretch>
                  </pic:blipFill>
                  <pic:spPr>
                    <a:xfrm>
                      <a:off x="0" y="0"/>
                      <a:ext cx="6470650" cy="2316480"/>
                    </a:xfrm>
                    <a:prstGeom prst="rect">
                      <a:avLst/>
                    </a:prstGeom>
                  </pic:spPr>
                </pic:pic>
              </a:graphicData>
            </a:graphic>
          </wp:inline>
        </w:drawing>
      </w:r>
    </w:p>
    <w:sectPr>
      <w:pgSz w:w="11906" w:h="16838"/>
      <w:pgMar w:top="567" w:right="850" w:bottom="567" w:left="85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408F1E3"/>
    <w:multiLevelType w:val="singleLevel"/>
    <w:tmpl w:val="D408F1E3"/>
    <w:lvl w:ilvl="0" w:tentative="0">
      <w:start w:val="1"/>
      <w:numFmt w:val="bullet"/>
      <w:lvlText w:val=""/>
      <w:lvlJc w:val="left"/>
      <w:pPr>
        <w:ind w:left="420" w:hanging="420"/>
      </w:pPr>
      <w:rPr>
        <w:rFonts w:hint="default" w:ascii="Wingdings" w:hAnsi="Wingdings"/>
      </w:rPr>
    </w:lvl>
  </w:abstractNum>
  <w:abstractNum w:abstractNumId="1">
    <w:nsid w:val="6025E937"/>
    <w:multiLevelType w:val="singleLevel"/>
    <w:tmpl w:val="6025E937"/>
    <w:lvl w:ilvl="0" w:tentative="0">
      <w:start w:val="1"/>
      <w:numFmt w:val="bullet"/>
      <w:lvlText w:val=""/>
      <w:lvlJc w:val="left"/>
      <w:pPr>
        <w:ind w:left="420" w:hanging="42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IwZTUyNjZlMWNiZTRhYWQ0OWNkYjI5YjM0NGI4NGUifQ=="/>
  </w:docVars>
  <w:rsids>
    <w:rsidRoot w:val="00000000"/>
    <w:rsid w:val="0067693C"/>
    <w:rsid w:val="019F7C11"/>
    <w:rsid w:val="054528B9"/>
    <w:rsid w:val="06E13031"/>
    <w:rsid w:val="0AAD7FBA"/>
    <w:rsid w:val="0B365CE9"/>
    <w:rsid w:val="0C852620"/>
    <w:rsid w:val="0CD03637"/>
    <w:rsid w:val="0F2C7498"/>
    <w:rsid w:val="14077076"/>
    <w:rsid w:val="14536C8E"/>
    <w:rsid w:val="19A64294"/>
    <w:rsid w:val="1A007CE5"/>
    <w:rsid w:val="1A61091A"/>
    <w:rsid w:val="218477E9"/>
    <w:rsid w:val="25AB100E"/>
    <w:rsid w:val="28311D49"/>
    <w:rsid w:val="298D1C5E"/>
    <w:rsid w:val="355C51DE"/>
    <w:rsid w:val="35F06D1C"/>
    <w:rsid w:val="3A0E2F88"/>
    <w:rsid w:val="3A766008"/>
    <w:rsid w:val="3C7513EC"/>
    <w:rsid w:val="3F4F412E"/>
    <w:rsid w:val="429F5051"/>
    <w:rsid w:val="44BE08C4"/>
    <w:rsid w:val="47E82B70"/>
    <w:rsid w:val="48013CF5"/>
    <w:rsid w:val="4BB01C48"/>
    <w:rsid w:val="51E41418"/>
    <w:rsid w:val="53034CB5"/>
    <w:rsid w:val="53910113"/>
    <w:rsid w:val="544D4622"/>
    <w:rsid w:val="58134E48"/>
    <w:rsid w:val="5A640A2F"/>
    <w:rsid w:val="5A872447"/>
    <w:rsid w:val="5BDC51D4"/>
    <w:rsid w:val="5CD94967"/>
    <w:rsid w:val="5E007B96"/>
    <w:rsid w:val="62201BF2"/>
    <w:rsid w:val="62806114"/>
    <w:rsid w:val="652142E4"/>
    <w:rsid w:val="65391B04"/>
    <w:rsid w:val="662A211E"/>
    <w:rsid w:val="683242A3"/>
    <w:rsid w:val="69697F0A"/>
    <w:rsid w:val="6A611FA2"/>
    <w:rsid w:val="6FD967A8"/>
    <w:rsid w:val="703F2826"/>
    <w:rsid w:val="71BC1008"/>
    <w:rsid w:val="743E4599"/>
    <w:rsid w:val="76F55B87"/>
    <w:rsid w:val="782C39D9"/>
    <w:rsid w:val="7B6A67B4"/>
    <w:rsid w:val="7E1C5F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4"/>
    <w:basedOn w:val="1"/>
    <w:next w:val="1"/>
    <w:autoRedefine/>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6">
    <w:name w:val="Default Paragraph Font"/>
    <w:semiHidden/>
    <w:qFormat/>
    <w:uiPriority w:val="0"/>
  </w:style>
  <w:style w:type="table" w:default="1" w:styleId="5">
    <w:name w:val="Normal Table"/>
    <w:autoRedefine/>
    <w:semiHidden/>
    <w:qFormat/>
    <w:uiPriority w:val="0"/>
    <w:tblPr>
      <w:tblCellMar>
        <w:top w:w="0" w:type="dxa"/>
        <w:left w:w="108" w:type="dxa"/>
        <w:bottom w:w="0" w:type="dxa"/>
        <w:right w:w="108" w:type="dxa"/>
      </w:tblCellMar>
    </w:tblPr>
  </w:style>
  <w:style w:type="paragraph" w:styleId="3">
    <w:name w:val="Body Text"/>
    <w:basedOn w:val="1"/>
    <w:semiHidden/>
    <w:qFormat/>
    <w:uiPriority w:val="0"/>
    <w:rPr>
      <w:rFonts w:ascii="微软雅黑" w:hAnsi="微软雅黑" w:eastAsia="微软雅黑" w:cs="微软雅黑"/>
      <w:sz w:val="21"/>
      <w:szCs w:val="21"/>
      <w:lang w:val="en-US" w:eastAsia="en-US" w:bidi="ar-SA"/>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22"/>
    <w:rPr>
      <w:b/>
      <w:bCs/>
    </w:rPr>
  </w:style>
  <w:style w:type="table" w:customStyle="1" w:styleId="8">
    <w:name w:val="Table Normal"/>
    <w:autoRedefine/>
    <w:semiHidden/>
    <w:unhideWhenUsed/>
    <w:qFormat/>
    <w:uiPriority w:val="0"/>
    <w:tblPr>
      <w:tblCellMar>
        <w:top w:w="0" w:type="dxa"/>
        <w:left w:w="0" w:type="dxa"/>
        <w:bottom w:w="0" w:type="dxa"/>
        <w:right w:w="0" w:type="dxa"/>
      </w:tblCellMar>
    </w:tblPr>
  </w:style>
  <w:style w:type="paragraph" w:styleId="9">
    <w:name w:val="List Paragraph"/>
    <w:basedOn w:val="1"/>
    <w:qFormat/>
    <w:uiPriority w:val="34"/>
    <w:pPr>
      <w:ind w:firstLine="420" w:firstLineChars="200"/>
    </w:pPr>
  </w:style>
  <w:style w:type="character" w:customStyle="1" w:styleId="10">
    <w:name w:val="font11"/>
    <w:basedOn w:val="6"/>
    <w:qFormat/>
    <w:uiPriority w:val="0"/>
    <w:rPr>
      <w:rFonts w:hint="eastAsia" w:ascii="微软雅黑" w:hAnsi="微软雅黑" w:eastAsia="微软雅黑" w:cs="微软雅黑"/>
      <w:color w:val="000000"/>
      <w:sz w:val="22"/>
      <w:szCs w:val="22"/>
      <w:u w:val="none"/>
    </w:rPr>
  </w:style>
  <w:style w:type="paragraph" w:customStyle="1" w:styleId="11">
    <w:name w:val="reader-word-layer"/>
    <w:basedOn w:val="1"/>
    <w:qFormat/>
    <w:uiPriority w:val="0"/>
    <w:pPr>
      <w:widowControl/>
      <w:spacing w:before="100" w:beforeAutospacing="1" w:after="100" w:afterAutospacing="1"/>
      <w:jc w:val="left"/>
    </w:pPr>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937</Words>
  <Characters>1036</Characters>
  <Lines>0</Lines>
  <Paragraphs>0</Paragraphs>
  <TotalTime>0</TotalTime>
  <ScaleCrop>false</ScaleCrop>
  <LinksUpToDate>false</LinksUpToDate>
  <CharactersWithSpaces>1072</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2023-09-28T00:45:00Z</dcterms:created>
  <dc:creator>admin</dc:creator>
  <cp:lastModifiedBy>WPS_1699857115</cp:lastModifiedBy>
  <dcterms:modified xsi:type="dcterms:W3CDTF">2024-03-29T08:06:31Z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D587F0D87A854DE6A7F81288F7E8A489_12</vt:lpwstr>
  </property>
</Properties>
</file>