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426835" cy="2856865"/>
            <wp:effectExtent l="0" t="0" r="12065" b="635"/>
            <wp:docPr id="4" name="图片 4" descr="微信图片_2023092714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9271418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683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ascii="微软雅黑" w:hAnsi="微软雅黑" w:eastAsia="微软雅黑" w:cs="微软雅黑"/>
          <w:b/>
          <w:bCs/>
          <w:kern w:val="0"/>
          <w:sz w:val="56"/>
          <w:szCs w:val="5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56"/>
          <w:szCs w:val="56"/>
          <w:lang w:val="en-US" w:eastAsia="zh-CN"/>
        </w:rPr>
        <w:t>2024年中东迪拜智慧城市建设展</w:t>
      </w:r>
    </w:p>
    <w:p>
      <w:pPr>
        <w:jc w:val="both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drawing>
          <wp:inline distT="0" distB="0" distL="114300" distR="114300">
            <wp:extent cx="2115820" cy="472440"/>
            <wp:effectExtent l="0" t="0" r="17780" b="3810"/>
            <wp:docPr id="3" name="图片 3" descr="E:/李姗/MIE/招展资料—改后/2024.11-12/11.26-28 中东迪拜智慧城市建设展LiveableCitiesX/QQ截图20240524140741.pngQQ截图2024052414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/李姗/MIE/招展资料—改后/2024.11-12/11.26-28 中东迪拜智慧城市建设展LiveableCitiesX/QQ截图20240524140741.pngQQ截图20240524140741"/>
                    <pic:cNvPicPr>
                      <a:picLocks noChangeAspect="1"/>
                    </pic:cNvPicPr>
                  </pic:nvPicPr>
                  <pic:blipFill>
                    <a:blip r:embed="rId5"/>
                    <a:srcRect t="19958" b="19958"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展会介绍</w:t>
      </w:r>
    </w:p>
    <w:p>
      <w:pPr>
        <w:pStyle w:val="6"/>
        <w:tabs>
          <w:tab w:val="left" w:pos="5880"/>
        </w:tabs>
        <w:spacing w:before="159" w:line="187" w:lineRule="auto"/>
        <w:ind w:left="169"/>
        <w:jc w:val="left"/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50E17"/>
          <w:spacing w:val="9"/>
          <w:sz w:val="28"/>
          <w:szCs w:val="28"/>
        </w:rPr>
        <w:t>●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 </w:t>
      </w:r>
      <w:r>
        <w:rPr>
          <w:b/>
          <w:bCs/>
          <w:color w:val="050E17"/>
          <w:spacing w:val="9"/>
          <w:sz w:val="28"/>
          <w:szCs w:val="28"/>
        </w:rPr>
        <w:t>展会时间</w:t>
      </w:r>
      <w:r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  <w:t>：</w:t>
      </w:r>
      <w:r>
        <w:rPr>
          <w:b/>
          <w:bCs/>
          <w:color w:val="050E17"/>
          <w:spacing w:val="9"/>
          <w:sz w:val="28"/>
          <w:szCs w:val="28"/>
        </w:rPr>
        <w:t>2024年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11月26-28日    </w:t>
      </w:r>
      <w:r>
        <w:rPr>
          <w:b/>
          <w:bCs/>
          <w:color w:val="050E17"/>
          <w:spacing w:val="9"/>
          <w:sz w:val="28"/>
          <w:szCs w:val="28"/>
        </w:rPr>
        <w:t>展会地点</w:t>
      </w:r>
      <w:r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  <w:t>：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>迪拜世贸中心</w:t>
      </w:r>
    </w:p>
    <w:p>
      <w:pPr>
        <w:pStyle w:val="6"/>
        <w:tabs>
          <w:tab w:val="left" w:pos="5880"/>
        </w:tabs>
        <w:spacing w:before="159" w:line="187" w:lineRule="auto"/>
        <w:ind w:left="169"/>
        <w:jc w:val="left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/>
          <w:b/>
          <w:bCs/>
          <w:color w:val="050E17"/>
          <w:spacing w:val="9"/>
          <w:sz w:val="28"/>
          <w:szCs w:val="28"/>
        </w:rPr>
        <w:t>●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 </w:t>
      </w:r>
      <w:r>
        <w:rPr>
          <w:b/>
          <w:bCs/>
          <w:color w:val="050E17"/>
          <w:spacing w:val="9"/>
          <w:sz w:val="28"/>
          <w:szCs w:val="28"/>
        </w:rPr>
        <w:t>主办单位</w:t>
      </w:r>
      <w:r>
        <w:rPr>
          <w:rFonts w:hint="eastAsia"/>
          <w:b/>
          <w:bCs/>
          <w:color w:val="050E17"/>
          <w:spacing w:val="9"/>
          <w:sz w:val="28"/>
          <w:szCs w:val="28"/>
          <w:lang w:eastAsia="zh-CN"/>
        </w:rPr>
        <w:t>：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 xml:space="preserve">DMG                </w:t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ab/>
      </w:r>
      <w:r>
        <w:rPr>
          <w:rFonts w:hint="eastAsia"/>
          <w:b/>
          <w:bCs/>
          <w:color w:val="050E17"/>
          <w:spacing w:val="9"/>
          <w:sz w:val="28"/>
          <w:szCs w:val="28"/>
          <w:lang w:val="en-US" w:eastAsia="zh-CN"/>
        </w:rPr>
        <w:t>展会类型：建筑建材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position w:val="-61"/>
        </w:rPr>
        <w:drawing>
          <wp:inline distT="0" distB="0" distL="114300" distR="114300">
            <wp:extent cx="6426200" cy="2858135"/>
            <wp:effectExtent l="0" t="0" r="12700" b="18415"/>
            <wp:docPr id="1" name="http://photo-static-api.fotomore.com/creative/vcg/veer/400/new/VCG41N610952296.jpg?uid=386&amp;timestamp=1715845255&amp;sign=091b7f537c34ca87fdad56604f7ab4e3" descr="templates\picture_hover\&amp;pky230_sjzg_VCG41N610952296&amp;"/>
            <wp:cNvGraphicFramePr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0_sjzg_VCG41N610952296&quot;,&quot;origin&quot;:0,&quot;type&quot;:&quot;pictures&quot;,&quot;user&quot;:&quot;1558062249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ttp://photo-static-api.fotomore.com/creative/vcg/veer/400/new/VCG41N610952296.jpg?uid=386&amp;timestamp=1715845255&amp;sign=091b7f537c34ca87fdad56604f7ab4e3" descr="templates\picture_hover\&amp;pky230_sjzg_VCG41N610952296&amp;"/>
                    <pic:cNvPicPr/>
                  </pic:nvPicPr>
                  <pic:blipFill>
                    <a:blip r:embed="rId6"/>
                    <a:srcRect t="4110" b="27238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中东迪拜智慧城市建设展（LiveableCitiesX）由DMG events主办，DMG events的业务遍及20多个国家，每年举办90多场活动，是国际知名的展览主办方。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LiveableCitiesX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是一次集结城市转型价值链中关键利益相关者，通过促进有意义联系、提供思想领导力以应对挑战的活动，</w:t>
      </w: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是连接城市、地区与国家，展示其未来蓝图与辉煌成就的桥梁。LiveableCitiesX不仅是一个平台，更是一个推动未来城市规划需求实现的引擎。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中东迪拜智慧城市建设展（LiveableCitiesX）将于2024年11月26-28日在迪拜世贸中心盛大开幕。展会设置宜居城市战略峰会、城市愿景与项目展示、创新产品展示和社交活动四大板块。预计将有来自全球各国的500家展商参展，参展商人数将达到15,000人次。展会同期将举办中东楼宇设施及物业管理装备展览会（Future FM）和中东国际地理测绘和遥感技术装备展（GEO WORLD）。</w:t>
      </w:r>
    </w:p>
    <w:tbl>
      <w:tblPr>
        <w:tblStyle w:val="14"/>
        <w:tblpPr w:leftFromText="180" w:rightFromText="180" w:vertAnchor="text" w:horzAnchor="page" w:tblpXSpec="center" w:tblpY="137"/>
        <w:tblOverlap w:val="never"/>
        <w:tblW w:w="968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2"/>
        <w:gridCol w:w="2432"/>
        <w:gridCol w:w="2419"/>
        <w:gridCol w:w="24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 w:hRule="atLeast"/>
          <w:jc w:val="center"/>
        </w:trPr>
        <w:tc>
          <w:tcPr>
            <w:tcW w:w="2412" w:type="dxa"/>
            <w:shd w:val="clear" w:color="auto" w:fill="4069DD"/>
            <w:vAlign w:val="top"/>
          </w:tcPr>
          <w:p>
            <w:pPr>
              <w:spacing w:before="211" w:line="190" w:lineRule="auto"/>
              <w:ind w:left="685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3"/>
                <w:sz w:val="28"/>
                <w:szCs w:val="28"/>
              </w:rPr>
              <w:t>国际展商</w:t>
            </w:r>
          </w:p>
        </w:tc>
        <w:tc>
          <w:tcPr>
            <w:tcW w:w="2432" w:type="dxa"/>
            <w:shd w:val="clear" w:color="auto" w:fill="4069DD"/>
            <w:vAlign w:val="top"/>
          </w:tcPr>
          <w:p>
            <w:pPr>
              <w:spacing w:before="210" w:line="189" w:lineRule="auto"/>
              <w:ind w:left="681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 w:val="28"/>
                <w:szCs w:val="28"/>
              </w:rPr>
              <w:t>参展人数</w:t>
            </w:r>
          </w:p>
        </w:tc>
        <w:tc>
          <w:tcPr>
            <w:tcW w:w="2419" w:type="dxa"/>
            <w:shd w:val="clear" w:color="auto" w:fill="4069DD"/>
            <w:vAlign w:val="top"/>
          </w:tcPr>
          <w:p>
            <w:pPr>
              <w:spacing w:before="210" w:line="191" w:lineRule="auto"/>
              <w:ind w:left="678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 w:val="28"/>
                <w:szCs w:val="28"/>
              </w:rPr>
              <w:t>辐射国家</w:t>
            </w:r>
          </w:p>
        </w:tc>
        <w:tc>
          <w:tcPr>
            <w:tcW w:w="2426" w:type="dxa"/>
            <w:shd w:val="clear" w:color="auto" w:fill="4069DD"/>
            <w:vAlign w:val="top"/>
          </w:tcPr>
          <w:p>
            <w:pPr>
              <w:spacing w:before="211" w:line="189" w:lineRule="auto"/>
              <w:ind w:left="679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7"/>
                <w:sz w:val="28"/>
                <w:szCs w:val="28"/>
              </w:rPr>
              <w:t>展会面积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  <w:jc w:val="center"/>
        </w:trPr>
        <w:tc>
          <w:tcPr>
            <w:tcW w:w="2412" w:type="dxa"/>
            <w:vAlign w:val="top"/>
          </w:tcPr>
          <w:p>
            <w:pPr>
              <w:spacing w:before="227" w:line="214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8"/>
                <w:sz w:val="28"/>
                <w:szCs w:val="28"/>
                <w:lang w:val="en-US" w:eastAsia="zh-CN"/>
              </w:rPr>
              <w:t>500</w:t>
            </w:r>
            <w:r>
              <w:rPr>
                <w:rFonts w:ascii="微软雅黑" w:hAnsi="微软雅黑" w:eastAsia="微软雅黑" w:cs="微软雅黑"/>
                <w:spacing w:val="-8"/>
                <w:sz w:val="28"/>
                <w:szCs w:val="28"/>
              </w:rPr>
              <w:t>+</w:t>
            </w:r>
          </w:p>
        </w:tc>
        <w:tc>
          <w:tcPr>
            <w:tcW w:w="2432" w:type="dxa"/>
            <w:vAlign w:val="top"/>
          </w:tcPr>
          <w:p>
            <w:pPr>
              <w:spacing w:before="225" w:line="197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spacing w:val="-3"/>
                <w:sz w:val="28"/>
                <w:szCs w:val="28"/>
                <w:lang w:val="en-US" w:eastAsia="zh-CN"/>
              </w:rPr>
              <w:t>15</w:t>
            </w:r>
            <w:r>
              <w:rPr>
                <w:rFonts w:ascii="微软雅黑" w:hAnsi="微软雅黑" w:eastAsia="微软雅黑" w:cs="微软雅黑"/>
                <w:spacing w:val="-3"/>
                <w:sz w:val="28"/>
                <w:szCs w:val="28"/>
              </w:rPr>
              <w:t>,000+</w:t>
            </w:r>
          </w:p>
        </w:tc>
        <w:tc>
          <w:tcPr>
            <w:tcW w:w="2419" w:type="dxa"/>
            <w:vAlign w:val="top"/>
          </w:tcPr>
          <w:p>
            <w:pPr>
              <w:spacing w:before="227" w:line="214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10"/>
                <w:sz w:val="28"/>
                <w:szCs w:val="28"/>
                <w:lang w:val="en-US" w:eastAsia="zh-CN"/>
              </w:rPr>
              <w:t>50</w:t>
            </w:r>
            <w:r>
              <w:rPr>
                <w:rFonts w:ascii="微软雅黑" w:hAnsi="微软雅黑" w:eastAsia="微软雅黑" w:cs="微软雅黑"/>
                <w:color w:val="auto"/>
                <w:spacing w:val="-10"/>
                <w:sz w:val="28"/>
                <w:szCs w:val="28"/>
              </w:rPr>
              <w:t>+</w:t>
            </w:r>
          </w:p>
        </w:tc>
        <w:tc>
          <w:tcPr>
            <w:tcW w:w="2426" w:type="dxa"/>
            <w:vAlign w:val="top"/>
          </w:tcPr>
          <w:p>
            <w:pPr>
              <w:spacing w:before="225" w:line="197" w:lineRule="auto"/>
              <w:jc w:val="center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3"/>
                <w:sz w:val="28"/>
                <w:szCs w:val="28"/>
                <w:lang w:val="en-US" w:eastAsia="zh-CN"/>
              </w:rPr>
              <w:t>20</w:t>
            </w:r>
            <w:r>
              <w:rPr>
                <w:rFonts w:ascii="微软雅黑" w:hAnsi="微软雅黑" w:eastAsia="微软雅黑" w:cs="微软雅黑"/>
                <w:color w:val="auto"/>
                <w:spacing w:val="-3"/>
                <w:sz w:val="28"/>
                <w:szCs w:val="28"/>
              </w:rPr>
              <w:t>,000+</w:t>
            </w:r>
          </w:p>
        </w:tc>
      </w:tr>
    </w:tbl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宋体"/>
          <w:kern w:val="0"/>
          <w:sz w:val="10"/>
          <w:szCs w:val="10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市场机遇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 w:eastAsia="微软雅黑" w:cs="宋体"/>
          <w:kern w:val="0"/>
          <w:sz w:val="10"/>
          <w:szCs w:val="10"/>
          <w:lang w:eastAsia="zh-CN"/>
        </w:rPr>
      </w:pPr>
      <w:r>
        <w:rPr>
          <w:rFonts w:hint="eastAsia" w:ascii="微软雅黑" w:hAnsi="微软雅黑" w:eastAsia="微软雅黑" w:cs="宋体"/>
          <w:kern w:val="0"/>
          <w:sz w:val="10"/>
          <w:szCs w:val="10"/>
          <w:lang w:eastAsia="zh-CN"/>
        </w:rPr>
        <w:drawing>
          <wp:inline distT="0" distB="0" distL="114300" distR="114300">
            <wp:extent cx="6426200" cy="2861945"/>
            <wp:effectExtent l="0" t="0" r="12700" b="14605"/>
            <wp:docPr id="2" name="http://photo-static-api.fotomore.com/creative/vcg/veer/400/new/VCG41N494812908.jpg?uid=386&amp;timestamp=1715845255&amp;sign=091b7f537c34ca87fdad56604f7ab4e3" descr="templates\picture_hover\&amp;pky280_sjzg_VCG41N494812908&amp;"/>
            <wp:cNvGraphicFramePr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0_sjzg_VCG41N494812908&quot;,&quot;origin&quot;:0,&quot;type&quot;:&quot;pictures&quot;,&quot;user&quot;:&quot;1558062249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ttp://photo-static-api.fotomore.com/creative/vcg/veer/400/new/VCG41N494812908.jpg?uid=386&amp;timestamp=1715845255&amp;sign=091b7f537c34ca87fdad56604f7ab4e3" descr="templates\picture_hover\&amp;pky280_sjzg_VCG41N494812908&amp;"/>
                    <pic:cNvPicPr/>
                  </pic:nvPicPr>
                  <pic:blipFill>
                    <a:blip r:embed="rId7"/>
                    <a:srcRect t="10400" b="23301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200" w:afterAutospacing="0" w:line="30" w:lineRule="atLeast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</w:rPr>
      </w:pP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200" w:afterAutospacing="0" w:line="30" w:lineRule="atLeast"/>
        <w:ind w:left="0" w:right="0" w:firstLine="0"/>
        <w:textAlignment w:val="auto"/>
        <w:rPr>
          <w:rFonts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</w:rPr>
        <w:t>迪拜酋长穆罕默德·本·拉希德公布了2040年城市总体规划，旨在使迪拜成为全球最佳城市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  <w:lang w:val="en-US" w:eastAsia="zh-CN"/>
        </w:rPr>
        <w:t>同时</w:t>
      </w: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  <w:t>满足整个酋长国城市发展的可持续性，并保证所有公民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  <w:lang w:eastAsia="zh-CN"/>
        </w:rPr>
        <w:t>、</w:t>
      </w: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  <w:t>居民和游客的最佳生活质量。</w:t>
      </w:r>
    </w:p>
    <w:p>
      <w:pPr>
        <w:pStyle w:val="9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200" w:afterAutospacing="0" w:line="30" w:lineRule="atLeast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</w:rPr>
        <w:t>该规划的主要目标包括：在2040年前迪拜的经济和娱乐活动容量显著增加（168平方公里用于工业和经济活动，旅游服务活动空间增加134%）；60%地区成为自然保护区；常住人口增加到580万（现在为338万）；教育和卫生医疗设施增加25%；公共交通运输继续改善等。</w:t>
      </w:r>
    </w:p>
    <w:p>
      <w:pPr>
        <w:pStyle w:val="9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200" w:afterAutospacing="0" w:line="30" w:lineRule="atLeast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</w:rPr>
        <w:t>根据该规划，迪拜将在未来发展中规划出五大城市中心，包括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  <w:lang w:eastAsia="zh-CN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</w:rPr>
        <w:t>1. Deira、Bur Dubai（以传统文化和城市遗产为重心）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  <w:lang w:eastAsia="zh-CN"/>
        </w:rPr>
        <w:t>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</w:rPr>
        <w:t>2. Downtown、Business Bay（以商业和金融服务为重心）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  <w:lang w:eastAsia="zh-CN"/>
        </w:rPr>
        <w:t>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</w:rPr>
        <w:t>3. Dubai Marina、JBR（以旅游娱乐为重心）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  <w:lang w:eastAsia="zh-CN"/>
        </w:rPr>
        <w:t>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</w:rPr>
        <w:t>4. 世博中心（以展览、旅游和物流为重心）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  <w:lang w:eastAsia="zh-CN"/>
        </w:rPr>
        <w:t>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</w:rPr>
        <w:t>5. 迪拜硅绿洲中心（以创新数字经济发展和人才培养为重心）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  <w:lang w:eastAsia="zh-CN"/>
        </w:rPr>
        <w:t>。</w:t>
      </w:r>
    </w:p>
    <w:p>
      <w:pPr>
        <w:pStyle w:val="9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200" w:afterAutospacing="0" w:line="30" w:lineRule="atLeast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</w:rPr>
        <w:t>该计划完成后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  <w:lang w:val="en-US" w:eastAsia="zh-CN"/>
        </w:rPr>
        <w:t>预计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</w:rPr>
        <w:t>将实现：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</w:rPr>
        <w:t>人口由现在的330万增至580万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  <w:lang w:eastAsia="zh-CN"/>
        </w:rPr>
        <w:t>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</w:rPr>
        <w:t>白天人口从450万增加到780万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  <w:lang w:eastAsia="zh-CN"/>
        </w:rPr>
        <w:t>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</w:rPr>
        <w:t>绿色和休闲区域增加150%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  <w:lang w:eastAsia="zh-CN"/>
        </w:rPr>
        <w:t>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  <w:lang w:val="en-US" w:eastAsia="zh-CN"/>
        </w:rPr>
        <w:t>4.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</w:rPr>
        <w:t>发展两个额外的主要城市中心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  <w:lang w:eastAsia="zh-CN"/>
        </w:rPr>
        <w:t>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</w:rPr>
        <w:t>5. 公共海滩总长度增加400%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  <w:lang w:eastAsia="zh-CN"/>
        </w:rPr>
        <w:t>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</w:rPr>
        <w:t>6. 接待和旅游活动空间增加134%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  <w:lang w:eastAsia="zh-CN"/>
        </w:rPr>
        <w:t>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</w:rPr>
        <w:t>7. 教育和卫生服务设施用地增加25%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  <w:lang w:eastAsia="zh-CN"/>
        </w:rPr>
        <w:t>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</w:rPr>
        <w:t>8. 迪拜本地国民用地17亿平方英尺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  <w:lang w:eastAsia="zh-CN"/>
        </w:rPr>
        <w:t>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</w:rPr>
        <w:t>9. 迪拜面积的60%用于自然保护区和农村自然区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  <w:lang w:eastAsia="zh-CN"/>
        </w:rPr>
        <w:t>。</w:t>
      </w:r>
    </w:p>
    <w:p>
      <w:pPr>
        <w:pStyle w:val="9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200" w:afterAutospacing="0" w:line="30" w:lineRule="atLeast"/>
        <w:ind w:left="0" w:right="0" w:firstLine="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</w:rPr>
        <w:t>新的总体规划定义了城市中心发展的综合方法，为所有居民提供公平的设施、服务和机会。该规划确定了六个城市化水平，遵循混合用途和密度的城市中心的分级结构，在其服务范围内为社区发挥特定的居住和功能作用。基于这六个级别，可以确定基础设施要求——道路和交通系统、能源和政府服务，如医院、学校、服务中心以及服务和娱乐设施。</w:t>
      </w:r>
    </w:p>
    <w:p>
      <w:pPr>
        <w:pStyle w:val="9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200" w:afterAutospacing="0" w:line="240" w:lineRule="auto"/>
        <w:ind w:left="0" w:right="0" w:firstLine="0"/>
        <w:textAlignment w:val="auto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</w:rPr>
        <w:t>这座城市一次又一次地证明它的目标是成为最好的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  <w:lang w:val="en-US" w:eastAsia="zh-CN"/>
        </w:rPr>
        <w:t>并且成功实现了！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</w:rPr>
        <w:t>是时候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  <w:lang w:val="en-US" w:eastAsia="zh-CN"/>
        </w:rPr>
        <w:t>参加展会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</w:rPr>
        <w:t>看看迪拜的未来了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7"/>
          <w:szCs w:val="27"/>
          <w:shd w:val="clear" w:fill="FFFFFF"/>
          <w:lang w:eastAsia="zh-CN"/>
        </w:rPr>
        <w:t>！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both"/>
        <w:textAlignment w:val="baseline"/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40"/>
          <w:szCs w:val="40"/>
          <w:lang w:val="en-US" w:eastAsia="zh-CN"/>
        </w:rPr>
        <w:t>招展范围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baseline"/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 w:val="43"/>
          <w:szCs w:val="43"/>
          <w:lang w:val="en-US" w:eastAsia="zh-CN"/>
        </w:rPr>
        <w:drawing>
          <wp:inline distT="0" distB="0" distL="114300" distR="114300">
            <wp:extent cx="6426200" cy="2858135"/>
            <wp:effectExtent l="0" t="0" r="12700" b="18415"/>
            <wp:docPr id="6" name="http://photo-static-api.fotomore.com/creative/vcg/veer/400/new/VCG41N598248310.jpg?uid=386&amp;timestamp=1715847093&amp;sign=2e13582acf61014a873769808defd3f8" descr="templates\picture_hover\&amp;pky230_sjzg_VCG41N598248310&amp;"/>
            <wp:cNvGraphicFramePr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0_sjzg_VCG41N598248310&quot;,&quot;origin&quot;:0,&quot;type&quot;:&quot;pictures&quot;,&quot;user&quot;:&quot;1558062249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ttp://photo-static-api.fotomore.com/creative/vcg/veer/400/new/VCG41N598248310.jpg?uid=386&amp;timestamp=1715847093&amp;sign=2e13582acf61014a873769808defd3f8" descr="templates\picture_hover\&amp;pky230_sjzg_VCG41N598248310&amp;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b/>
          <w:bCs/>
          <w:sz w:val="28"/>
          <w:szCs w:val="28"/>
          <w:lang w:val="en-US" w:eastAsia="zh-CN"/>
        </w:rPr>
        <w:t>基础设施创新区</w:t>
      </w:r>
      <w:r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  <w:t>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ind w:leftChars="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技术和智慧城市解决方案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：3D打印及科技技术；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ind w:leftChars="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基础设施和公用事业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ind w:leftChars="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交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通及运输：汽车，零部件，智能停车；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ind w:leftChars="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安防：安保及网络安全服务；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ind w:leftChars="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可再生能源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：太阳能，风力，水力发电 系统及解决方案；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ind w:leftChars="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环境保护与水资源管理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：水、废物和能源管理技术及解决方案。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ind w:left="420" w:leftChars="0" w:hanging="420" w:firstLineChars="0"/>
        <w:jc w:val="both"/>
        <w:textAlignment w:val="baseline"/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b/>
          <w:bCs/>
          <w:sz w:val="28"/>
          <w:szCs w:val="28"/>
          <w:lang w:val="en-US" w:eastAsia="zh-CN"/>
        </w:rPr>
        <w:t>可持续城市生活区</w:t>
      </w:r>
      <w:r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  <w:t>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ind w:leftChars="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绿色可持续建筑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：废物处理和回收及可持续材料生产和销售；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ind w:leftChars="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公共空间和景观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：风扇，空调，照明，家居，城景；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ind w:leftChars="0"/>
        <w:jc w:val="both"/>
        <w:textAlignment w:val="baseline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公共卫生与福祉医疗保健，技术及器械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/>
        <w:spacing w:after="200" w:line="360" w:lineRule="auto"/>
        <w:ind w:leftChars="0"/>
        <w:jc w:val="both"/>
        <w:textAlignment w:val="baseline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r>
        <w:rPr>
          <w:rFonts w:hint="default" w:ascii="微软雅黑" w:hAnsi="微软雅黑" w:eastAsia="微软雅黑"/>
          <w:sz w:val="28"/>
          <w:szCs w:val="28"/>
          <w:lang w:val="en-US" w:eastAsia="zh-CN"/>
        </w:rPr>
        <w:t>循环城市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：科技，生物制造，人工智能芯片，碳排放减少和环境保护解决方案。</w:t>
      </w:r>
    </w:p>
    <w:sectPr>
      <w:pgSz w:w="11906" w:h="16838"/>
      <w:pgMar w:top="567" w:right="850" w:bottom="567" w:left="85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841F12"/>
    <w:multiLevelType w:val="singleLevel"/>
    <w:tmpl w:val="10841F1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wZTUyNjZlMWNiZTRhYWQ0OWNkYjI5YjM0NGI4NGUifQ=="/>
  </w:docVars>
  <w:rsids>
    <w:rsidRoot w:val="00000000"/>
    <w:rsid w:val="0067693C"/>
    <w:rsid w:val="015055B8"/>
    <w:rsid w:val="04CA3560"/>
    <w:rsid w:val="054E2F2E"/>
    <w:rsid w:val="06E13031"/>
    <w:rsid w:val="09AD37AE"/>
    <w:rsid w:val="0B365CE9"/>
    <w:rsid w:val="0C852620"/>
    <w:rsid w:val="0E9D2C8A"/>
    <w:rsid w:val="0ECA3C1B"/>
    <w:rsid w:val="0F2C7498"/>
    <w:rsid w:val="1292709E"/>
    <w:rsid w:val="14077076"/>
    <w:rsid w:val="14191FE6"/>
    <w:rsid w:val="16E2057B"/>
    <w:rsid w:val="1A007CE5"/>
    <w:rsid w:val="1A61091A"/>
    <w:rsid w:val="1B7D3404"/>
    <w:rsid w:val="1C4C70CB"/>
    <w:rsid w:val="1CAD3428"/>
    <w:rsid w:val="1CC1230B"/>
    <w:rsid w:val="200D23B5"/>
    <w:rsid w:val="218477E9"/>
    <w:rsid w:val="21BD5AAD"/>
    <w:rsid w:val="2250644D"/>
    <w:rsid w:val="24762851"/>
    <w:rsid w:val="25AB100E"/>
    <w:rsid w:val="26A22032"/>
    <w:rsid w:val="275453A8"/>
    <w:rsid w:val="292770E3"/>
    <w:rsid w:val="2C5E49C7"/>
    <w:rsid w:val="31CA60EB"/>
    <w:rsid w:val="35F06D1C"/>
    <w:rsid w:val="3850214F"/>
    <w:rsid w:val="3A4436F9"/>
    <w:rsid w:val="3A766008"/>
    <w:rsid w:val="3AF00CD6"/>
    <w:rsid w:val="3C7513EC"/>
    <w:rsid w:val="3C86689A"/>
    <w:rsid w:val="3CAD3C40"/>
    <w:rsid w:val="429F5051"/>
    <w:rsid w:val="436A63E7"/>
    <w:rsid w:val="43A6543F"/>
    <w:rsid w:val="46F36581"/>
    <w:rsid w:val="49832711"/>
    <w:rsid w:val="4BB01C48"/>
    <w:rsid w:val="51E41418"/>
    <w:rsid w:val="52C16149"/>
    <w:rsid w:val="532F7A3D"/>
    <w:rsid w:val="55FC14E5"/>
    <w:rsid w:val="58134E48"/>
    <w:rsid w:val="59C0704D"/>
    <w:rsid w:val="5A2C6D21"/>
    <w:rsid w:val="5A640A2F"/>
    <w:rsid w:val="5BDC51D4"/>
    <w:rsid w:val="5CD94967"/>
    <w:rsid w:val="5E007B96"/>
    <w:rsid w:val="5EF03005"/>
    <w:rsid w:val="62806114"/>
    <w:rsid w:val="652142E4"/>
    <w:rsid w:val="65391B04"/>
    <w:rsid w:val="661E3B5C"/>
    <w:rsid w:val="66EB3D79"/>
    <w:rsid w:val="683242A3"/>
    <w:rsid w:val="6C8C6344"/>
    <w:rsid w:val="6E410AE6"/>
    <w:rsid w:val="6F803507"/>
    <w:rsid w:val="6FD967A8"/>
    <w:rsid w:val="703F2826"/>
    <w:rsid w:val="71BC1008"/>
    <w:rsid w:val="743E4599"/>
    <w:rsid w:val="75D87472"/>
    <w:rsid w:val="76F55B87"/>
    <w:rsid w:val="782C39D9"/>
    <w:rsid w:val="78B959E5"/>
    <w:rsid w:val="7E1C5F55"/>
    <w:rsid w:val="7F422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semiHidden/>
    <w:qFormat/>
    <w:uiPriority w:val="0"/>
    <w:rPr>
      <w:rFonts w:ascii="微软雅黑" w:hAnsi="微软雅黑" w:eastAsia="微软雅黑" w:cs="微软雅黑"/>
      <w:sz w:val="21"/>
      <w:szCs w:val="21"/>
      <w:lang w:val="en-US" w:eastAsia="en-US" w:bidi="ar-SA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table" w:customStyle="1" w:styleId="1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font11"/>
    <w:basedOn w:val="11"/>
    <w:qFormat/>
    <w:uiPriority w:val="0"/>
    <w:rPr>
      <w:rFonts w:hint="eastAsia" w:ascii="微软雅黑" w:hAnsi="微软雅黑" w:eastAsia="微软雅黑" w:cs="微软雅黑"/>
      <w:color w:val="000000"/>
      <w:sz w:val="22"/>
      <w:szCs w:val="22"/>
      <w:u w:val="none"/>
    </w:rPr>
  </w:style>
  <w:style w:type="paragraph" w:customStyle="1" w:styleId="17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1302</Words>
  <Characters>1524</Characters>
  <Lines>0</Lines>
  <Paragraphs>0</Paragraphs>
  <TotalTime>0</TotalTime>
  <ScaleCrop>false</ScaleCrop>
  <LinksUpToDate>false</LinksUpToDate>
  <CharactersWithSpaces>1565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2023-09-28T00:45:00Z</dcterms:created>
  <dc:creator>admin</dc:creator>
  <cp:lastModifiedBy>WPS_1699857115</cp:lastModifiedBy>
  <dcterms:modified xsi:type="dcterms:W3CDTF">2024-05-24T06:09:26Z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D587F0D87A854DE6A7F81288F7E8A489_12</vt:lpwstr>
  </property>
</Properties>
</file>